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1493926F"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161CC4">
        <w:rPr>
          <w:rFonts w:cs="Arial"/>
          <w:sz w:val="24"/>
          <w:szCs w:val="24"/>
        </w:rPr>
        <w:t>ng #90</w:t>
      </w:r>
      <w:r w:rsidR="008215B1">
        <w:rPr>
          <w:rFonts w:cs="Arial"/>
          <w:sz w:val="24"/>
          <w:szCs w:val="24"/>
        </w:rPr>
        <w:tab/>
        <w:t>R4-1901765</w:t>
      </w:r>
    </w:p>
    <w:p w14:paraId="418EF0CE" w14:textId="6D65CDA5" w:rsidR="00CE74C5" w:rsidRPr="00CE74C5" w:rsidRDefault="00161CC4"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Athens</w:t>
      </w:r>
      <w:r w:rsidR="00B624FA">
        <w:rPr>
          <w:rFonts w:eastAsia="SimSun"/>
          <w:sz w:val="24"/>
          <w:szCs w:val="24"/>
          <w:lang w:eastAsia="zh-CN"/>
        </w:rPr>
        <w:t>,</w:t>
      </w:r>
      <w:r>
        <w:rPr>
          <w:rFonts w:eastAsia="SimSun"/>
          <w:sz w:val="24"/>
          <w:szCs w:val="24"/>
          <w:lang w:eastAsia="zh-CN"/>
        </w:rPr>
        <w:t xml:space="preserve"> Greece, Feb 25th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Mar 1st</w:t>
      </w:r>
      <w:r w:rsidR="00CE74C5" w:rsidRPr="00CE74C5">
        <w:rPr>
          <w:rFonts w:eastAsia="SimSun"/>
          <w:sz w:val="24"/>
          <w:szCs w:val="24"/>
          <w:lang w:eastAsia="zh-CN"/>
        </w:rPr>
        <w:t>,</w:t>
      </w:r>
      <w:r>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2D7E5FF1"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7C7E0E">
        <w:rPr>
          <w:rFonts w:ascii="Arial" w:hAnsi="Arial"/>
          <w:sz w:val="24"/>
        </w:rPr>
        <w:t>6.7.8.3</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22DCF2B1"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AF58FE">
        <w:rPr>
          <w:rFonts w:ascii="Arial" w:hAnsi="Arial"/>
          <w:sz w:val="24"/>
        </w:rPr>
        <w:t xml:space="preserve">On beam Correspondence </w:t>
      </w:r>
      <w:r w:rsidR="007C7E0E">
        <w:rPr>
          <w:rFonts w:ascii="Arial" w:hAnsi="Arial"/>
          <w:sz w:val="24"/>
        </w:rPr>
        <w:t>relationship for CA</w:t>
      </w:r>
    </w:p>
    <w:p w14:paraId="47130695" w14:textId="06D7B75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C352C1">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22FF7576" w:rsidR="008E7145" w:rsidRPr="00C32F76" w:rsidRDefault="00161CC4" w:rsidP="00122353">
      <w:pPr>
        <w:jc w:val="both"/>
        <w:rPr>
          <w:rFonts w:ascii="Arial" w:hAnsi="Arial" w:cs="Arial"/>
          <w:sz w:val="20"/>
          <w:szCs w:val="20"/>
        </w:rPr>
      </w:pPr>
      <w:r>
        <w:rPr>
          <w:rFonts w:ascii="Arial" w:hAnsi="Arial" w:cs="Arial"/>
          <w:sz w:val="20"/>
          <w:szCs w:val="20"/>
        </w:rPr>
        <w:t xml:space="preserve">In </w:t>
      </w:r>
      <w:r w:rsidR="002321B5">
        <w:rPr>
          <w:rFonts w:ascii="Arial" w:hAnsi="Arial" w:cs="Arial"/>
          <w:sz w:val="20"/>
          <w:szCs w:val="20"/>
        </w:rPr>
        <w:t>UE feature list discussed in RAN4 [1]</w:t>
      </w:r>
      <w:r w:rsidR="00191931">
        <w:rPr>
          <w:rFonts w:ascii="Arial" w:hAnsi="Arial" w:cs="Arial"/>
          <w:sz w:val="20"/>
          <w:szCs w:val="20"/>
        </w:rPr>
        <w:t>, one of remaining issues related to beam correspondence</w:t>
      </w:r>
      <w:r w:rsidR="002321B5">
        <w:rPr>
          <w:rFonts w:ascii="Arial" w:hAnsi="Arial" w:cs="Arial"/>
          <w:sz w:val="20"/>
          <w:szCs w:val="20"/>
        </w:rPr>
        <w:t xml:space="preserve"> </w:t>
      </w:r>
      <w:r w:rsidR="00FC7248">
        <w:rPr>
          <w:rFonts w:ascii="Arial" w:hAnsi="Arial" w:cs="Arial"/>
          <w:sz w:val="20"/>
          <w:szCs w:val="20"/>
        </w:rPr>
        <w:t>is how to consider beam correspondence relationship across CCs in CA case. In this contribution, we discuss this issue and present our view.</w:t>
      </w:r>
    </w:p>
    <w:p w14:paraId="1E77E169" w14:textId="3AED644D"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17651D31" w14:textId="7C6A7B38" w:rsidR="00FC7248" w:rsidRPr="00170F02" w:rsidRDefault="00FC7248" w:rsidP="00FC7248">
      <w:pPr>
        <w:rPr>
          <w:rFonts w:ascii="Arial" w:hAnsi="Arial" w:cs="Arial"/>
          <w:sz w:val="20"/>
          <w:szCs w:val="20"/>
        </w:rPr>
      </w:pPr>
      <w:r w:rsidRPr="00170F02">
        <w:rPr>
          <w:rFonts w:ascii="Arial" w:hAnsi="Arial" w:cs="Arial"/>
          <w:noProof/>
          <w:sz w:val="20"/>
          <w:szCs w:val="20"/>
        </w:rPr>
        <mc:AlternateContent>
          <mc:Choice Requires="wps">
            <w:drawing>
              <wp:anchor distT="45720" distB="45720" distL="114300" distR="114300" simplePos="0" relativeHeight="251661312" behindDoc="0" locked="0" layoutInCell="1" allowOverlap="1" wp14:anchorId="270E50B8" wp14:editId="55F2DC7B">
                <wp:simplePos x="0" y="0"/>
                <wp:positionH relativeFrom="column">
                  <wp:posOffset>-22860</wp:posOffset>
                </wp:positionH>
                <wp:positionV relativeFrom="paragraph">
                  <wp:posOffset>427990</wp:posOffset>
                </wp:positionV>
                <wp:extent cx="6042660" cy="1028700"/>
                <wp:effectExtent l="0" t="0" r="1524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660" cy="1028700"/>
                        </a:xfrm>
                        <a:prstGeom prst="rect">
                          <a:avLst/>
                        </a:prstGeom>
                        <a:solidFill>
                          <a:srgbClr val="FFFFFF"/>
                        </a:solidFill>
                        <a:ln w="9525">
                          <a:solidFill>
                            <a:srgbClr val="000000"/>
                          </a:solidFill>
                          <a:miter lim="800000"/>
                          <a:headEnd/>
                          <a:tailEnd/>
                        </a:ln>
                      </wps:spPr>
                      <wps:txbx>
                        <w:txbxContent>
                          <w:p w14:paraId="5975DA7B" w14:textId="78CC7AE3" w:rsidR="00FC7248" w:rsidRPr="00FC7248" w:rsidRDefault="00FC7248" w:rsidP="00FC7248">
                            <w:pPr>
                              <w:spacing w:after="120"/>
                              <w:jc w:val="both"/>
                              <w:rPr>
                                <w:color w:val="000000" w:themeColor="text1"/>
                                <w:lang w:eastAsia="ja-JP"/>
                              </w:rPr>
                            </w:pPr>
                            <w:r w:rsidRPr="00FC7248">
                              <w:rPr>
                                <w:rFonts w:hint="eastAsia"/>
                                <w:color w:val="000000" w:themeColor="text1"/>
                                <w:lang w:eastAsia="ja-JP"/>
                              </w:rPr>
                              <w:t>P</w:t>
                            </w:r>
                            <w:r w:rsidRPr="00FC7248">
                              <w:rPr>
                                <w:color w:val="000000" w:themeColor="text1"/>
                                <w:lang w:eastAsia="ja-JP"/>
                              </w:rPr>
                              <w:t>roposal 1: Discuss the following remaining issues on RAN4 related UE features in RAN1 UE feature list.</w:t>
                            </w:r>
                          </w:p>
                          <w:p w14:paraId="194B817E" w14:textId="77777777" w:rsidR="00FC7248" w:rsidRPr="00170F02" w:rsidRDefault="00FC7248" w:rsidP="00FC7248">
                            <w:pPr>
                              <w:pStyle w:val="ListParagraph"/>
                              <w:numPr>
                                <w:ilvl w:val="1"/>
                                <w:numId w:val="22"/>
                              </w:numPr>
                              <w:spacing w:after="120"/>
                              <w:jc w:val="both"/>
                              <w:rPr>
                                <w:color w:val="000000" w:themeColor="text1"/>
                                <w:highlight w:val="yellow"/>
                                <w:lang w:eastAsia="ja-JP"/>
                              </w:rPr>
                            </w:pPr>
                            <w:r w:rsidRPr="00170F02">
                              <w:rPr>
                                <w:color w:val="000000" w:themeColor="text1"/>
                                <w:highlight w:val="yellow"/>
                                <w:lang w:eastAsia="ja-JP"/>
                              </w:rPr>
                              <w:t>2-20, Beam correspondence, UE RF requirement for component-1 and feasibility for component-2, e.g. intra-band or inter-band, as indicated in [4].</w:t>
                            </w:r>
                          </w:p>
                          <w:p w14:paraId="00B38C54" w14:textId="77777777" w:rsidR="00FC7248" w:rsidRPr="00FC7248" w:rsidRDefault="00FC7248" w:rsidP="00FC7248">
                            <w:pPr>
                              <w:pStyle w:val="ListParagraph"/>
                              <w:numPr>
                                <w:ilvl w:val="1"/>
                                <w:numId w:val="22"/>
                              </w:numPr>
                              <w:spacing w:after="120"/>
                              <w:jc w:val="both"/>
                              <w:rPr>
                                <w:color w:val="000000" w:themeColor="text1"/>
                                <w:lang w:eastAsia="ja-JP"/>
                              </w:rPr>
                            </w:pPr>
                            <w:r w:rsidRPr="00FC7248">
                              <w:rPr>
                                <w:color w:val="000000" w:themeColor="text1"/>
                                <w:lang w:eastAsia="ja-JP"/>
                              </w:rPr>
                              <w:t>4-1, Basic UL control channel, feasibility of frequency hopping for PUCCH formats for FR2</w:t>
                            </w:r>
                          </w:p>
                          <w:p w14:paraId="031B25EC" w14:textId="77777777" w:rsidR="00FC7248" w:rsidRPr="00FC7248" w:rsidRDefault="00FC7248" w:rsidP="00FC7248">
                            <w:pPr>
                              <w:pStyle w:val="ListParagraph"/>
                              <w:numPr>
                                <w:ilvl w:val="1"/>
                                <w:numId w:val="22"/>
                              </w:numPr>
                              <w:spacing w:after="120"/>
                              <w:jc w:val="both"/>
                              <w:rPr>
                                <w:color w:val="000000" w:themeColor="text1"/>
                                <w:lang w:eastAsia="ja-JP"/>
                              </w:rPr>
                            </w:pPr>
                            <w:r w:rsidRPr="00FC7248">
                              <w:rPr>
                                <w:color w:val="000000" w:themeColor="text1"/>
                                <w:lang w:eastAsia="ja-JP"/>
                              </w:rPr>
                              <w:t>6-1, Basic BWP operation with restriction, signaling type and M/O</w:t>
                            </w:r>
                          </w:p>
                          <w:p w14:paraId="6EBF8BDC" w14:textId="6896B5E2" w:rsidR="00FC7248" w:rsidRDefault="00FC72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0E50B8" id="_x0000_t202" coordsize="21600,21600" o:spt="202" path="m,l,21600r21600,l21600,xe">
                <v:stroke joinstyle="miter"/>
                <v:path gradientshapeok="t" o:connecttype="rect"/>
              </v:shapetype>
              <v:shape id="Text Box 2" o:spid="_x0000_s1026" type="#_x0000_t202" style="position:absolute;margin-left:-1.8pt;margin-top:33.7pt;width:475.8pt;height:8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">
                <v:textbox>
                  <w:txbxContent>
                    <w:p w14:paraId="5975DA7B" w14:textId="78CC7AE3" w:rsidR="00FC7248" w:rsidRPr="00FC7248" w:rsidRDefault="00FC7248" w:rsidP="00FC7248">
                      <w:pPr>
                        <w:spacing w:after="120"/>
                        <w:jc w:val="both"/>
                        <w:rPr>
                          <w:color w:val="000000" w:themeColor="text1"/>
                          <w:lang w:eastAsia="ja-JP"/>
                        </w:rPr>
                      </w:pPr>
                      <w:r w:rsidRPr="00FC7248">
                        <w:rPr>
                          <w:rFonts w:hint="eastAsia"/>
                          <w:color w:val="000000" w:themeColor="text1"/>
                          <w:lang w:eastAsia="ja-JP"/>
                        </w:rPr>
                        <w:t>P</w:t>
                      </w:r>
                      <w:r w:rsidRPr="00FC7248">
                        <w:rPr>
                          <w:color w:val="000000" w:themeColor="text1"/>
                          <w:lang w:eastAsia="ja-JP"/>
                        </w:rPr>
                        <w:t>roposal 1: Discuss the following remaining issues on RAN4 related UE features in RAN1 UE feature list.</w:t>
                      </w:r>
                    </w:p>
                    <w:p w14:paraId="194B817E" w14:textId="77777777" w:rsidR="00FC7248" w:rsidRPr="00170F02" w:rsidRDefault="00FC7248" w:rsidP="00FC7248">
                      <w:pPr>
                        <w:pStyle w:val="ListParagraph"/>
                        <w:numPr>
                          <w:ilvl w:val="1"/>
                          <w:numId w:val="22"/>
                        </w:numPr>
                        <w:spacing w:after="120"/>
                        <w:jc w:val="both"/>
                        <w:rPr>
                          <w:color w:val="000000" w:themeColor="text1"/>
                          <w:highlight w:val="yellow"/>
                          <w:lang w:eastAsia="ja-JP"/>
                        </w:rPr>
                      </w:pPr>
                      <w:r w:rsidRPr="00170F02">
                        <w:rPr>
                          <w:color w:val="000000" w:themeColor="text1"/>
                          <w:highlight w:val="yellow"/>
                          <w:lang w:eastAsia="ja-JP"/>
                        </w:rPr>
                        <w:t>2-20, Beam correspondence, UE RF requirement for component-1 and feasibility for component-2, e.g. intra-band or inter-band, as indicated in [4].</w:t>
                      </w:r>
                    </w:p>
                    <w:p w14:paraId="00B38C54" w14:textId="77777777" w:rsidR="00FC7248" w:rsidRPr="00FC7248" w:rsidRDefault="00FC7248" w:rsidP="00FC7248">
                      <w:pPr>
                        <w:pStyle w:val="ListParagraph"/>
                        <w:numPr>
                          <w:ilvl w:val="1"/>
                          <w:numId w:val="22"/>
                        </w:numPr>
                        <w:spacing w:after="120"/>
                        <w:jc w:val="both"/>
                        <w:rPr>
                          <w:color w:val="000000" w:themeColor="text1"/>
                          <w:lang w:eastAsia="ja-JP"/>
                        </w:rPr>
                      </w:pPr>
                      <w:r w:rsidRPr="00FC7248">
                        <w:rPr>
                          <w:color w:val="000000" w:themeColor="text1"/>
                          <w:lang w:eastAsia="ja-JP"/>
                        </w:rPr>
                        <w:t>4-1, Basic UL control channel, feasibility of frequency hopping for PUCCH formats for FR2</w:t>
                      </w:r>
                    </w:p>
                    <w:p w14:paraId="031B25EC" w14:textId="77777777" w:rsidR="00FC7248" w:rsidRPr="00FC7248" w:rsidRDefault="00FC7248" w:rsidP="00FC7248">
                      <w:pPr>
                        <w:pStyle w:val="ListParagraph"/>
                        <w:numPr>
                          <w:ilvl w:val="1"/>
                          <w:numId w:val="22"/>
                        </w:numPr>
                        <w:spacing w:after="120"/>
                        <w:jc w:val="both"/>
                        <w:rPr>
                          <w:color w:val="000000" w:themeColor="text1"/>
                          <w:lang w:eastAsia="ja-JP"/>
                        </w:rPr>
                      </w:pPr>
                      <w:r w:rsidRPr="00FC7248">
                        <w:rPr>
                          <w:color w:val="000000" w:themeColor="text1"/>
                          <w:lang w:eastAsia="ja-JP"/>
                        </w:rPr>
                        <w:t>6-1, Basic BWP operation with restriction, signaling type and M/O</w:t>
                      </w:r>
                    </w:p>
                    <w:p w14:paraId="6EBF8BDC" w14:textId="6896B5E2" w:rsidR="00FC7248" w:rsidRDefault="00FC7248"/>
                  </w:txbxContent>
                </v:textbox>
                <w10:wrap type="square"/>
              </v:shape>
            </w:pict>
          </mc:Fallback>
        </mc:AlternateContent>
      </w:r>
      <w:r w:rsidRPr="00170F02">
        <w:rPr>
          <w:rFonts w:ascii="Arial" w:hAnsi="Arial" w:cs="Arial"/>
          <w:sz w:val="20"/>
          <w:szCs w:val="20"/>
        </w:rPr>
        <w:t>The remaining issues on RAN4 related UE feature have been captured in [1]. The following is corresponding excerpt.</w:t>
      </w:r>
    </w:p>
    <w:p w14:paraId="1D1DA3A4" w14:textId="5D6C32D3" w:rsidR="00FC7248" w:rsidRPr="00170F02" w:rsidRDefault="00FC7248" w:rsidP="00FC7248">
      <w:pPr>
        <w:rPr>
          <w:rFonts w:ascii="Arial" w:hAnsi="Arial" w:cs="Arial"/>
          <w:sz w:val="20"/>
          <w:szCs w:val="20"/>
        </w:rPr>
      </w:pPr>
    </w:p>
    <w:p w14:paraId="3239D28E" w14:textId="35FA5CF9" w:rsidR="00FC7248" w:rsidRPr="00FC7248" w:rsidRDefault="00FC7248" w:rsidP="00FC7248">
      <w:r w:rsidRPr="00170F02">
        <w:rPr>
          <w:rFonts w:ascii="Arial" w:hAnsi="Arial" w:cs="Arial"/>
          <w:sz w:val="20"/>
          <w:szCs w:val="20"/>
        </w:rPr>
        <w:t xml:space="preserve">For beam correspondence </w:t>
      </w:r>
      <w:r w:rsidR="00170F02" w:rsidRPr="00170F02">
        <w:rPr>
          <w:rFonts w:ascii="Arial" w:hAnsi="Arial" w:cs="Arial"/>
          <w:sz w:val="20"/>
          <w:szCs w:val="20"/>
        </w:rPr>
        <w:t xml:space="preserve">feature 2-20 is a RAN1 </w:t>
      </w:r>
      <w:r w:rsidR="00FB7859">
        <w:rPr>
          <w:rFonts w:ascii="Arial" w:hAnsi="Arial" w:cs="Arial"/>
          <w:sz w:val="20"/>
          <w:szCs w:val="20"/>
        </w:rPr>
        <w:t xml:space="preserve">UE </w:t>
      </w:r>
      <w:r w:rsidR="00170F02" w:rsidRPr="00170F02">
        <w:rPr>
          <w:rFonts w:ascii="Arial" w:hAnsi="Arial" w:cs="Arial"/>
          <w:sz w:val="20"/>
          <w:szCs w:val="20"/>
        </w:rPr>
        <w:t>feature</w:t>
      </w:r>
      <w:r w:rsidR="00A220B1">
        <w:rPr>
          <w:rFonts w:ascii="Arial" w:hAnsi="Arial" w:cs="Arial"/>
          <w:sz w:val="20"/>
          <w:szCs w:val="20"/>
        </w:rPr>
        <w:t>.</w:t>
      </w:r>
      <w:r w:rsidR="00170F02" w:rsidRPr="00170F02">
        <w:rPr>
          <w:rFonts w:ascii="Arial" w:hAnsi="Arial" w:cs="Arial"/>
          <w:sz w:val="20"/>
          <w:szCs w:val="20"/>
        </w:rPr>
        <w:t xml:space="preserve"> </w:t>
      </w:r>
      <w:r w:rsidR="00170F02">
        <w:rPr>
          <w:rFonts w:ascii="Arial" w:hAnsi="Arial" w:cs="Arial"/>
          <w:sz w:val="20"/>
          <w:szCs w:val="20"/>
        </w:rPr>
        <w:t>The exact meaning of component-2 can be found in RAN1 UE fea</w:t>
      </w:r>
      <w:r w:rsidR="00FB7859">
        <w:rPr>
          <w:rFonts w:ascii="Arial" w:hAnsi="Arial" w:cs="Arial"/>
          <w:sz w:val="20"/>
          <w:szCs w:val="20"/>
        </w:rPr>
        <w:t xml:space="preserve">ture 2-20 </w:t>
      </w:r>
      <w:r w:rsidR="00170F02">
        <w:rPr>
          <w:rFonts w:ascii="Arial" w:hAnsi="Arial" w:cs="Arial"/>
          <w:sz w:val="20"/>
          <w:szCs w:val="20"/>
        </w:rPr>
        <w:t>[2]</w:t>
      </w:r>
      <w:r w:rsidR="00FB7859">
        <w:rPr>
          <w:rFonts w:ascii="Arial" w:hAnsi="Arial" w:cs="Arial"/>
          <w:sz w:val="20"/>
          <w:szCs w:val="20"/>
        </w:rPr>
        <w:t xml:space="preserve"> shown below.</w:t>
      </w:r>
    </w:p>
    <w:p w14:paraId="727F14CF" w14:textId="0CE9D165" w:rsidR="00ED42E3" w:rsidRDefault="00ED42E3" w:rsidP="00B20116">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03"/>
        <w:gridCol w:w="620"/>
        <w:gridCol w:w="1108"/>
        <w:gridCol w:w="468"/>
        <w:gridCol w:w="648"/>
        <w:gridCol w:w="623"/>
        <w:gridCol w:w="487"/>
        <w:gridCol w:w="516"/>
        <w:gridCol w:w="516"/>
        <w:gridCol w:w="416"/>
        <w:gridCol w:w="666"/>
        <w:gridCol w:w="475"/>
        <w:gridCol w:w="758"/>
        <w:gridCol w:w="1070"/>
        <w:gridCol w:w="947"/>
      </w:tblGrid>
      <w:tr w:rsidR="00191931" w:rsidRPr="00DF4ECA" w14:paraId="130A2939" w14:textId="77777777" w:rsidTr="00106601">
        <w:trPr>
          <w:trHeight w:val="870"/>
        </w:trPr>
        <w:tc>
          <w:tcPr>
            <w:tcW w:w="158" w:type="pct"/>
            <w:shd w:val="clear" w:color="auto" w:fill="auto"/>
            <w:vAlign w:val="center"/>
          </w:tcPr>
          <w:p w14:paraId="60FC9418" w14:textId="77777777" w:rsidR="00191931" w:rsidRPr="00DF4ECA" w:rsidRDefault="00191931" w:rsidP="00106601">
            <w:pPr>
              <w:snapToGrid w:val="0"/>
              <w:rPr>
                <w:rFonts w:ascii="Arial" w:eastAsia="MS PGothic" w:hAnsi="Arial" w:cs="Arial"/>
                <w:color w:val="000000" w:themeColor="text1"/>
                <w:sz w:val="16"/>
                <w:szCs w:val="16"/>
              </w:rPr>
            </w:pPr>
            <w:r w:rsidRPr="00DF4ECA">
              <w:rPr>
                <w:rFonts w:ascii="Arial" w:eastAsia="Times New Roman" w:hAnsi="Arial" w:cs="Arial"/>
                <w:color w:val="000000" w:themeColor="text1"/>
                <w:sz w:val="16"/>
                <w:szCs w:val="16"/>
              </w:rPr>
              <w:t>2-20</w:t>
            </w:r>
          </w:p>
        </w:tc>
        <w:tc>
          <w:tcPr>
            <w:tcW w:w="322" w:type="pct"/>
            <w:shd w:val="clear" w:color="auto" w:fill="auto"/>
            <w:vAlign w:val="center"/>
          </w:tcPr>
          <w:p w14:paraId="54CA567A" w14:textId="77777777" w:rsidR="00191931" w:rsidRPr="00DF4ECA" w:rsidRDefault="00191931" w:rsidP="00106601">
            <w:pPr>
              <w:snapToGrid w:val="0"/>
              <w:rPr>
                <w:rFonts w:ascii="Arial" w:eastAsia="MS PGothic" w:hAnsi="Arial" w:cs="Arial"/>
                <w:color w:val="000000" w:themeColor="text1"/>
                <w:sz w:val="16"/>
                <w:szCs w:val="16"/>
              </w:rPr>
            </w:pPr>
            <w:r w:rsidRPr="00DF4ECA">
              <w:rPr>
                <w:rFonts w:ascii="Arial" w:eastAsia="Times New Roman" w:hAnsi="Arial" w:cs="Arial"/>
                <w:color w:val="000000" w:themeColor="text1"/>
                <w:sz w:val="16"/>
                <w:szCs w:val="16"/>
              </w:rPr>
              <w:t>Beam correspondence</w:t>
            </w:r>
          </w:p>
        </w:tc>
        <w:tc>
          <w:tcPr>
            <w:tcW w:w="576" w:type="pct"/>
            <w:shd w:val="clear" w:color="auto" w:fill="auto"/>
            <w:vAlign w:val="center"/>
          </w:tcPr>
          <w:p w14:paraId="71646687" w14:textId="77777777" w:rsidR="00191931" w:rsidRPr="00DF4ECA" w:rsidRDefault="00191931" w:rsidP="00106601">
            <w:pPr>
              <w:rPr>
                <w:rFonts w:ascii="Arial" w:eastAsia="Times New Roman" w:hAnsi="Arial" w:cs="Arial"/>
                <w:color w:val="000000" w:themeColor="text1"/>
                <w:sz w:val="16"/>
                <w:szCs w:val="16"/>
              </w:rPr>
            </w:pPr>
            <w:r w:rsidRPr="00DF4ECA">
              <w:rPr>
                <w:rFonts w:ascii="Arial" w:eastAsia="Times New Roman" w:hAnsi="Arial" w:cs="Arial"/>
                <w:color w:val="000000" w:themeColor="text1"/>
                <w:sz w:val="16"/>
                <w:szCs w:val="16"/>
              </w:rPr>
              <w:t>1. Support Beam correspondence</w:t>
            </w:r>
          </w:p>
          <w:p w14:paraId="33BE2B93" w14:textId="77777777" w:rsidR="00191931" w:rsidRPr="00DF4ECA" w:rsidRDefault="00191931" w:rsidP="00106601">
            <w:pPr>
              <w:rPr>
                <w:rFonts w:ascii="Arial" w:eastAsia="Times New Roman" w:hAnsi="Arial" w:cs="Arial"/>
                <w:color w:val="000000" w:themeColor="text1"/>
                <w:sz w:val="16"/>
                <w:szCs w:val="16"/>
              </w:rPr>
            </w:pPr>
            <w:r w:rsidRPr="00DF4ECA">
              <w:rPr>
                <w:rFonts w:ascii="Arial" w:eastAsia="Times New Roman" w:hAnsi="Arial" w:cs="Arial"/>
                <w:color w:val="000000" w:themeColor="text1"/>
                <w:sz w:val="16"/>
                <w:szCs w:val="16"/>
              </w:rPr>
              <w:t xml:space="preserve">2. When CA is configured, whether the same beam correspondence relationship for beam management is supported across CCs. </w:t>
            </w:r>
          </w:p>
          <w:p w14:paraId="219A7AD9" w14:textId="77777777" w:rsidR="00191931" w:rsidRPr="00DF4ECA" w:rsidRDefault="00191931" w:rsidP="00106601">
            <w:pPr>
              <w:snapToGrid w:val="0"/>
              <w:rPr>
                <w:rFonts w:ascii="Arial" w:eastAsia="MS PGothic" w:hAnsi="Arial" w:cs="Arial"/>
                <w:color w:val="000000" w:themeColor="text1"/>
                <w:sz w:val="16"/>
                <w:szCs w:val="16"/>
              </w:rPr>
            </w:pPr>
            <w:r w:rsidRPr="00DF4ECA">
              <w:rPr>
                <w:rFonts w:ascii="Arial" w:eastAsia="Times New Roman" w:hAnsi="Arial" w:cs="Arial"/>
                <w:color w:val="FF0000"/>
                <w:sz w:val="16"/>
                <w:szCs w:val="16"/>
              </w:rPr>
              <w:t>Note: RAN4 to check the feasibility for component-2, e.g. intra-band or inter-band</w:t>
            </w:r>
          </w:p>
        </w:tc>
        <w:tc>
          <w:tcPr>
            <w:tcW w:w="243" w:type="pct"/>
            <w:shd w:val="clear" w:color="auto" w:fill="auto"/>
            <w:vAlign w:val="center"/>
          </w:tcPr>
          <w:p w14:paraId="3E67A582" w14:textId="77777777" w:rsidR="00191931" w:rsidRPr="00DF4ECA" w:rsidRDefault="00191931" w:rsidP="00106601">
            <w:pPr>
              <w:snapToGrid w:val="0"/>
              <w:rPr>
                <w:rFonts w:ascii="Arial" w:eastAsia="MS PGothic" w:hAnsi="Arial" w:cs="Arial"/>
                <w:color w:val="000000" w:themeColor="text1"/>
                <w:sz w:val="16"/>
                <w:szCs w:val="16"/>
              </w:rPr>
            </w:pPr>
            <w:r w:rsidRPr="00DF4ECA">
              <w:rPr>
                <w:rFonts w:ascii="Arial" w:eastAsia="Times New Roman" w:hAnsi="Arial" w:cs="Arial"/>
                <w:color w:val="000000" w:themeColor="text1"/>
                <w:sz w:val="16"/>
                <w:szCs w:val="16"/>
              </w:rPr>
              <w:t> </w:t>
            </w:r>
          </w:p>
        </w:tc>
        <w:tc>
          <w:tcPr>
            <w:tcW w:w="337" w:type="pct"/>
            <w:shd w:val="clear" w:color="auto" w:fill="auto"/>
            <w:vAlign w:val="center"/>
          </w:tcPr>
          <w:p w14:paraId="29453B6D" w14:textId="77777777" w:rsidR="00191931" w:rsidRPr="00DF4ECA" w:rsidRDefault="00191931" w:rsidP="00106601">
            <w:pPr>
              <w:snapToGrid w:val="0"/>
              <w:rPr>
                <w:rFonts w:ascii="Arial" w:eastAsia="MS PGothic" w:hAnsi="Arial" w:cs="Arial"/>
                <w:color w:val="000000" w:themeColor="text1"/>
                <w:sz w:val="16"/>
                <w:szCs w:val="16"/>
              </w:rPr>
            </w:pPr>
            <w:r w:rsidRPr="00DF4ECA">
              <w:rPr>
                <w:rFonts w:ascii="Arial" w:eastAsia="MS PGothic" w:hAnsi="Arial" w:cs="Arial"/>
                <w:color w:val="000000" w:themeColor="text1"/>
                <w:sz w:val="16"/>
                <w:szCs w:val="16"/>
              </w:rPr>
              <w:t>Yes</w:t>
            </w:r>
          </w:p>
        </w:tc>
        <w:tc>
          <w:tcPr>
            <w:tcW w:w="324" w:type="pct"/>
            <w:shd w:val="clear" w:color="auto" w:fill="auto"/>
            <w:vAlign w:val="center"/>
          </w:tcPr>
          <w:p w14:paraId="60059E36" w14:textId="77777777" w:rsidR="00191931" w:rsidRPr="00DF4ECA" w:rsidRDefault="00191931" w:rsidP="00106601">
            <w:pPr>
              <w:snapToGrid w:val="0"/>
              <w:rPr>
                <w:rFonts w:ascii="Arial" w:eastAsia="MS PGothic" w:hAnsi="Arial" w:cs="Arial"/>
                <w:color w:val="000000" w:themeColor="text1"/>
                <w:sz w:val="16"/>
                <w:szCs w:val="16"/>
              </w:rPr>
            </w:pPr>
            <w:r w:rsidRPr="00DF4ECA">
              <w:rPr>
                <w:rFonts w:ascii="Arial" w:eastAsia="MS PGothic" w:hAnsi="Arial" w:cs="Arial"/>
                <w:color w:val="000000" w:themeColor="text1"/>
                <w:sz w:val="16"/>
                <w:szCs w:val="16"/>
              </w:rPr>
              <w:t>Beam correspondence is not supported</w:t>
            </w:r>
          </w:p>
        </w:tc>
        <w:tc>
          <w:tcPr>
            <w:tcW w:w="253" w:type="pct"/>
            <w:shd w:val="clear" w:color="auto" w:fill="auto"/>
            <w:vAlign w:val="center"/>
          </w:tcPr>
          <w:p w14:paraId="529360BF" w14:textId="77777777" w:rsidR="00191931" w:rsidRPr="00DF4ECA" w:rsidRDefault="00191931" w:rsidP="00106601">
            <w:pPr>
              <w:snapToGrid w:val="0"/>
              <w:rPr>
                <w:rFonts w:ascii="Arial" w:eastAsia="MS PGothic" w:hAnsi="Arial" w:cs="Arial"/>
                <w:color w:val="000000" w:themeColor="text1"/>
                <w:sz w:val="16"/>
                <w:szCs w:val="16"/>
              </w:rPr>
            </w:pPr>
            <w:r w:rsidRPr="00DF4ECA">
              <w:rPr>
                <w:rFonts w:ascii="Arial" w:eastAsia="Times New Roman" w:hAnsi="Arial" w:cs="Arial"/>
                <w:color w:val="000000" w:themeColor="text1"/>
                <w:sz w:val="16"/>
                <w:szCs w:val="16"/>
              </w:rPr>
              <w:t>Type 1</w:t>
            </w:r>
          </w:p>
        </w:tc>
        <w:tc>
          <w:tcPr>
            <w:tcW w:w="268" w:type="pct"/>
            <w:shd w:val="clear" w:color="auto" w:fill="auto"/>
            <w:vAlign w:val="center"/>
          </w:tcPr>
          <w:p w14:paraId="7AF36523" w14:textId="77777777" w:rsidR="00191931" w:rsidRPr="00DF4ECA" w:rsidRDefault="00191931" w:rsidP="00106601">
            <w:pPr>
              <w:snapToGrid w:val="0"/>
              <w:rPr>
                <w:rFonts w:ascii="Arial" w:eastAsia="MS PGothic" w:hAnsi="Arial" w:cs="Arial"/>
                <w:color w:val="000000" w:themeColor="text1"/>
                <w:sz w:val="16"/>
                <w:szCs w:val="16"/>
              </w:rPr>
            </w:pPr>
            <w:r w:rsidRPr="00DF4ECA">
              <w:rPr>
                <w:rFonts w:ascii="Arial" w:eastAsia="MS PGothic" w:hAnsi="Arial" w:cs="Arial"/>
                <w:color w:val="000000" w:themeColor="text1"/>
                <w:sz w:val="16"/>
                <w:szCs w:val="16"/>
              </w:rPr>
              <w:t>No need</w:t>
            </w:r>
          </w:p>
        </w:tc>
        <w:tc>
          <w:tcPr>
            <w:tcW w:w="268" w:type="pct"/>
            <w:shd w:val="clear" w:color="auto" w:fill="auto"/>
            <w:vAlign w:val="center"/>
          </w:tcPr>
          <w:p w14:paraId="667BE32D" w14:textId="77777777" w:rsidR="00191931" w:rsidRPr="00DF4ECA" w:rsidRDefault="00191931" w:rsidP="00106601">
            <w:pPr>
              <w:snapToGrid w:val="0"/>
              <w:rPr>
                <w:rFonts w:ascii="Arial" w:eastAsia="MS PGothic" w:hAnsi="Arial" w:cs="Arial"/>
                <w:color w:val="000000" w:themeColor="text1"/>
                <w:sz w:val="16"/>
                <w:szCs w:val="16"/>
              </w:rPr>
            </w:pPr>
            <w:r w:rsidRPr="00DF4ECA">
              <w:rPr>
                <w:rFonts w:ascii="Arial" w:eastAsia="Malgun Gothic" w:hAnsi="Arial" w:cs="Arial"/>
                <w:color w:val="000000" w:themeColor="text1"/>
                <w:sz w:val="16"/>
                <w:szCs w:val="16"/>
              </w:rPr>
              <w:t>N.A.</w:t>
            </w:r>
          </w:p>
        </w:tc>
        <w:tc>
          <w:tcPr>
            <w:tcW w:w="216" w:type="pct"/>
            <w:shd w:val="clear" w:color="auto" w:fill="auto"/>
            <w:vAlign w:val="center"/>
          </w:tcPr>
          <w:p w14:paraId="39C7321B" w14:textId="77777777" w:rsidR="00191931" w:rsidRPr="00DF4ECA" w:rsidRDefault="00191931" w:rsidP="00106601">
            <w:pPr>
              <w:snapToGrid w:val="0"/>
              <w:rPr>
                <w:rFonts w:ascii="Arial" w:eastAsia="MS PGothic" w:hAnsi="Arial" w:cs="Arial"/>
                <w:color w:val="000000" w:themeColor="text1"/>
                <w:sz w:val="16"/>
                <w:szCs w:val="16"/>
              </w:rPr>
            </w:pPr>
          </w:p>
        </w:tc>
        <w:tc>
          <w:tcPr>
            <w:tcW w:w="346" w:type="pct"/>
            <w:shd w:val="clear" w:color="auto" w:fill="auto"/>
            <w:vAlign w:val="center"/>
          </w:tcPr>
          <w:p w14:paraId="29D9F9D8" w14:textId="77777777" w:rsidR="00191931" w:rsidRPr="00DF4ECA" w:rsidRDefault="00191931" w:rsidP="00106601">
            <w:pPr>
              <w:snapToGrid w:val="0"/>
              <w:rPr>
                <w:rFonts w:ascii="Arial" w:eastAsia="MS PGothic" w:hAnsi="Arial" w:cs="Arial"/>
                <w:color w:val="000000" w:themeColor="text1"/>
                <w:sz w:val="16"/>
                <w:szCs w:val="16"/>
              </w:rPr>
            </w:pPr>
            <w:r w:rsidRPr="00DF4ECA">
              <w:rPr>
                <w:rFonts w:ascii="Arial" w:eastAsia="Times New Roman" w:hAnsi="Arial" w:cs="Arial"/>
                <w:color w:val="000000" w:themeColor="text1"/>
                <w:sz w:val="16"/>
                <w:szCs w:val="16"/>
              </w:rPr>
              <w:t xml:space="preserve">Note: Beam correspondence means each </w:t>
            </w:r>
            <w:proofErr w:type="spellStart"/>
            <w:r w:rsidRPr="00DF4ECA">
              <w:rPr>
                <w:rFonts w:ascii="Arial" w:eastAsia="Times New Roman" w:hAnsi="Arial" w:cs="Arial"/>
                <w:color w:val="000000" w:themeColor="text1"/>
                <w:sz w:val="16"/>
                <w:szCs w:val="16"/>
              </w:rPr>
              <w:t>Tx</w:t>
            </w:r>
            <w:proofErr w:type="spellEnd"/>
            <w:r w:rsidRPr="00DF4ECA">
              <w:rPr>
                <w:rFonts w:ascii="Arial" w:eastAsia="Times New Roman" w:hAnsi="Arial" w:cs="Arial"/>
                <w:color w:val="000000" w:themeColor="text1"/>
                <w:sz w:val="16"/>
                <w:szCs w:val="16"/>
              </w:rPr>
              <w:t xml:space="preserve"> port can be </w:t>
            </w:r>
            <w:proofErr w:type="spellStart"/>
            <w:r w:rsidRPr="00DF4ECA">
              <w:rPr>
                <w:rFonts w:ascii="Arial" w:eastAsia="Times New Roman" w:hAnsi="Arial" w:cs="Arial"/>
                <w:color w:val="000000" w:themeColor="text1"/>
                <w:sz w:val="16"/>
                <w:szCs w:val="16"/>
              </w:rPr>
              <w:t>beamformed</w:t>
            </w:r>
            <w:proofErr w:type="spellEnd"/>
            <w:r w:rsidRPr="00DF4ECA">
              <w:rPr>
                <w:rFonts w:ascii="Arial" w:eastAsia="Times New Roman" w:hAnsi="Arial" w:cs="Arial"/>
                <w:color w:val="000000" w:themeColor="text1"/>
                <w:sz w:val="16"/>
                <w:szCs w:val="16"/>
              </w:rPr>
              <w:t xml:space="preserve"> in a desirable direction but does not imply setting phase across ports</w:t>
            </w:r>
          </w:p>
        </w:tc>
        <w:tc>
          <w:tcPr>
            <w:tcW w:w="247" w:type="pct"/>
            <w:shd w:val="clear" w:color="auto" w:fill="auto"/>
            <w:vAlign w:val="center"/>
          </w:tcPr>
          <w:p w14:paraId="2A52AA9D" w14:textId="77777777" w:rsidR="00191931" w:rsidRPr="00DF4ECA" w:rsidRDefault="00191931" w:rsidP="00106601">
            <w:pPr>
              <w:snapToGrid w:val="0"/>
              <w:rPr>
                <w:rFonts w:ascii="Arial" w:eastAsia="MS PGothic" w:hAnsi="Arial" w:cs="Arial"/>
                <w:color w:val="000000" w:themeColor="text1"/>
                <w:sz w:val="16"/>
                <w:szCs w:val="16"/>
              </w:rPr>
            </w:pPr>
          </w:p>
        </w:tc>
        <w:tc>
          <w:tcPr>
            <w:tcW w:w="394" w:type="pct"/>
            <w:shd w:val="clear" w:color="000000" w:fill="BFBFBF"/>
            <w:vAlign w:val="center"/>
          </w:tcPr>
          <w:p w14:paraId="40680607" w14:textId="77777777" w:rsidR="00191931" w:rsidRPr="00DF4ECA" w:rsidRDefault="00191931" w:rsidP="00106601">
            <w:pPr>
              <w:rPr>
                <w:rFonts w:ascii="Arial" w:eastAsia="Times New Roman" w:hAnsi="Arial" w:cs="Arial"/>
                <w:color w:val="000000" w:themeColor="text1"/>
                <w:sz w:val="16"/>
                <w:szCs w:val="16"/>
              </w:rPr>
            </w:pPr>
          </w:p>
          <w:p w14:paraId="71BC0ED6" w14:textId="77777777" w:rsidR="00191931" w:rsidRPr="00DF4ECA" w:rsidRDefault="00191931" w:rsidP="00106601">
            <w:pPr>
              <w:rPr>
                <w:rFonts w:ascii="Arial" w:eastAsia="MS PGothic" w:hAnsi="Arial" w:cs="Arial"/>
                <w:color w:val="000000" w:themeColor="text1"/>
                <w:sz w:val="16"/>
                <w:szCs w:val="16"/>
              </w:rPr>
            </w:pPr>
            <w:r w:rsidRPr="00DF4ECA">
              <w:rPr>
                <w:rFonts w:ascii="Arial" w:eastAsia="MS PGothic" w:hAnsi="Arial" w:cs="Arial"/>
                <w:color w:val="000000" w:themeColor="text1"/>
                <w:sz w:val="16"/>
                <w:szCs w:val="16"/>
              </w:rPr>
              <w:t>[Mandatory/optional] with capability signaling</w:t>
            </w:r>
          </w:p>
          <w:p w14:paraId="56920ED8" w14:textId="77777777" w:rsidR="00191931" w:rsidRPr="00DF4ECA" w:rsidRDefault="00191931" w:rsidP="00106601">
            <w:pPr>
              <w:rPr>
                <w:rFonts w:ascii="Arial" w:eastAsia="Times New Roman" w:hAnsi="Arial" w:cs="Arial"/>
                <w:color w:val="000000" w:themeColor="text1"/>
                <w:sz w:val="16"/>
                <w:szCs w:val="16"/>
              </w:rPr>
            </w:pPr>
          </w:p>
          <w:p w14:paraId="3C504BE9" w14:textId="77777777" w:rsidR="00191931" w:rsidRPr="00DF4ECA" w:rsidRDefault="00191931" w:rsidP="00106601">
            <w:pPr>
              <w:rPr>
                <w:rFonts w:ascii="Arial" w:eastAsia="Times New Roman" w:hAnsi="Arial" w:cs="Arial"/>
                <w:color w:val="000000" w:themeColor="text1"/>
                <w:sz w:val="16"/>
                <w:szCs w:val="16"/>
              </w:rPr>
            </w:pPr>
            <w:r w:rsidRPr="00DF4ECA">
              <w:rPr>
                <w:rFonts w:ascii="Arial" w:eastAsia="Times New Roman" w:hAnsi="Arial" w:cs="Arial"/>
                <w:color w:val="000000" w:themeColor="text1"/>
                <w:sz w:val="16"/>
                <w:szCs w:val="16"/>
              </w:rPr>
              <w:t>Component-2, candidate value: {Yes, No}</w:t>
            </w:r>
          </w:p>
          <w:p w14:paraId="6F7D0282" w14:textId="77777777" w:rsidR="00191931" w:rsidRPr="00DF4ECA" w:rsidRDefault="00191931" w:rsidP="00106601">
            <w:pPr>
              <w:snapToGrid w:val="0"/>
              <w:rPr>
                <w:rFonts w:ascii="Arial" w:eastAsia="MS PGothic" w:hAnsi="Arial" w:cs="Arial"/>
                <w:color w:val="000000" w:themeColor="text1"/>
                <w:sz w:val="16"/>
                <w:szCs w:val="16"/>
              </w:rPr>
            </w:pPr>
          </w:p>
        </w:tc>
        <w:tc>
          <w:tcPr>
            <w:tcW w:w="556" w:type="pct"/>
            <w:shd w:val="clear" w:color="auto" w:fill="auto"/>
          </w:tcPr>
          <w:p w14:paraId="29D61F67" w14:textId="77777777" w:rsidR="00191931" w:rsidRPr="00DF4ECA" w:rsidRDefault="00191931" w:rsidP="00106601">
            <w:pPr>
              <w:snapToGrid w:val="0"/>
              <w:rPr>
                <w:rFonts w:ascii="Arial" w:eastAsia="MS PGothic" w:hAnsi="Arial" w:cs="Arial"/>
                <w:color w:val="000000" w:themeColor="text1"/>
                <w:sz w:val="16"/>
                <w:szCs w:val="16"/>
              </w:rPr>
            </w:pPr>
            <w:r w:rsidRPr="00DF4ECA">
              <w:rPr>
                <w:rFonts w:ascii="Arial" w:eastAsia="MS PGothic" w:hAnsi="Arial" w:cs="Arial"/>
                <w:color w:val="000000" w:themeColor="text1"/>
                <w:sz w:val="16"/>
                <w:szCs w:val="16"/>
              </w:rPr>
              <w:t>[Mandatory/optional] with capability signaling</w:t>
            </w:r>
          </w:p>
        </w:tc>
        <w:tc>
          <w:tcPr>
            <w:tcW w:w="492" w:type="pct"/>
            <w:shd w:val="clear" w:color="auto" w:fill="E2EFD9" w:themeFill="accent6" w:themeFillTint="33"/>
          </w:tcPr>
          <w:p w14:paraId="167F74BB" w14:textId="77777777" w:rsidR="00191931" w:rsidRPr="00DF4ECA" w:rsidRDefault="00191931" w:rsidP="00106601">
            <w:pPr>
              <w:snapToGrid w:val="0"/>
              <w:rPr>
                <w:rFonts w:ascii="Arial" w:eastAsia="MS PGothic" w:hAnsi="Arial" w:cs="Arial"/>
                <w:color w:val="000000" w:themeColor="text1"/>
                <w:sz w:val="16"/>
                <w:szCs w:val="16"/>
                <w:lang w:eastAsia="ja-JP"/>
              </w:rPr>
            </w:pPr>
            <w:r w:rsidRPr="00DF4ECA">
              <w:rPr>
                <w:rFonts w:ascii="Arial" w:eastAsia="MS PGothic" w:hAnsi="Arial" w:cs="Arial"/>
                <w:color w:val="000000" w:themeColor="text1"/>
                <w:sz w:val="16"/>
                <w:szCs w:val="16"/>
                <w:lang w:eastAsia="ja-JP"/>
              </w:rPr>
              <w:t>The UE RF requirement for component 1 is under discussion in UE RF session.</w:t>
            </w:r>
          </w:p>
          <w:p w14:paraId="32ADFA42" w14:textId="77777777" w:rsidR="00191931" w:rsidRPr="00DF4ECA" w:rsidRDefault="00191931" w:rsidP="00106601">
            <w:pPr>
              <w:snapToGrid w:val="0"/>
              <w:rPr>
                <w:rFonts w:ascii="Arial" w:eastAsia="MS PGothic" w:hAnsi="Arial" w:cs="Arial"/>
                <w:color w:val="000000" w:themeColor="text1"/>
                <w:sz w:val="16"/>
                <w:szCs w:val="16"/>
                <w:lang w:eastAsia="ja-JP"/>
              </w:rPr>
            </w:pPr>
          </w:p>
          <w:p w14:paraId="57668506" w14:textId="77777777" w:rsidR="00191931" w:rsidRPr="00DF4ECA" w:rsidRDefault="00191931" w:rsidP="00106601">
            <w:pPr>
              <w:snapToGrid w:val="0"/>
              <w:rPr>
                <w:rFonts w:ascii="Arial" w:eastAsia="MS PGothic" w:hAnsi="Arial" w:cs="Arial"/>
                <w:color w:val="000000" w:themeColor="text1"/>
                <w:sz w:val="16"/>
                <w:szCs w:val="16"/>
                <w:lang w:eastAsia="ja-JP"/>
              </w:rPr>
            </w:pPr>
            <w:r w:rsidRPr="00DF4ECA">
              <w:rPr>
                <w:rFonts w:ascii="Arial" w:eastAsia="MS PGothic" w:hAnsi="Arial" w:cs="Arial"/>
                <w:color w:val="000000" w:themeColor="text1"/>
                <w:sz w:val="16"/>
                <w:szCs w:val="16"/>
                <w:lang w:eastAsia="ja-JP"/>
              </w:rPr>
              <w:t>The component 2 was newly added at the last meeting, so RAN4 needs to address it</w:t>
            </w:r>
            <w:r>
              <w:rPr>
                <w:rFonts w:ascii="Arial" w:eastAsia="MS PGothic" w:hAnsi="Arial" w:cs="Arial"/>
                <w:color w:val="000000" w:themeColor="text1"/>
                <w:sz w:val="16"/>
                <w:szCs w:val="16"/>
                <w:lang w:eastAsia="ja-JP"/>
              </w:rPr>
              <w:t xml:space="preserve"> as indicated in [4]</w:t>
            </w:r>
          </w:p>
        </w:tc>
      </w:tr>
    </w:tbl>
    <w:p w14:paraId="24FEE0A3" w14:textId="74833DF0" w:rsidR="00191931" w:rsidRDefault="00191931" w:rsidP="00B20116">
      <w:pPr>
        <w:rPr>
          <w:rFonts w:ascii="Arial" w:hAnsi="Arial" w:cs="Arial"/>
          <w:sz w:val="20"/>
          <w:szCs w:val="20"/>
        </w:rPr>
      </w:pPr>
    </w:p>
    <w:p w14:paraId="27CEDEEE" w14:textId="2AC07E39" w:rsidR="00FB7859" w:rsidRDefault="00FB7859" w:rsidP="00FB7859">
      <w:pPr>
        <w:pStyle w:val="ListParagraph"/>
        <w:overflowPunct/>
        <w:autoSpaceDE/>
        <w:autoSpaceDN/>
        <w:adjustRightInd/>
        <w:contextualSpacing w:val="0"/>
        <w:textAlignment w:val="auto"/>
        <w:rPr>
          <w:rFonts w:ascii="Arial" w:hAnsi="Arial" w:cs="Arial"/>
          <w:color w:val="1F497D"/>
          <w:sz w:val="20"/>
          <w:szCs w:val="20"/>
          <w:lang w:val="en-GB"/>
        </w:rPr>
      </w:pPr>
    </w:p>
    <w:p w14:paraId="334B66BB" w14:textId="069A5335" w:rsidR="00FB7859" w:rsidRDefault="00FB7859" w:rsidP="00FB7859">
      <w:pPr>
        <w:pStyle w:val="ListParagraph"/>
        <w:overflowPunct/>
        <w:autoSpaceDE/>
        <w:autoSpaceDN/>
        <w:adjustRightInd/>
        <w:ind w:left="0"/>
        <w:contextualSpacing w:val="0"/>
        <w:textAlignment w:val="auto"/>
        <w:rPr>
          <w:rFonts w:ascii="Arial" w:hAnsi="Arial" w:cs="Arial"/>
          <w:sz w:val="20"/>
          <w:szCs w:val="20"/>
          <w:lang w:val="en-GB"/>
        </w:rPr>
      </w:pPr>
      <w:r w:rsidRPr="00FB7859">
        <w:rPr>
          <w:rFonts w:ascii="Arial" w:hAnsi="Arial" w:cs="Arial"/>
          <w:sz w:val="20"/>
          <w:szCs w:val="20"/>
          <w:lang w:val="en-GB"/>
        </w:rPr>
        <w:t>The component</w:t>
      </w:r>
      <w:r>
        <w:rPr>
          <w:rFonts w:ascii="Arial" w:hAnsi="Arial" w:cs="Arial"/>
          <w:sz w:val="20"/>
          <w:szCs w:val="20"/>
          <w:lang w:val="en-GB"/>
        </w:rPr>
        <w:t>-</w:t>
      </w:r>
      <w:r w:rsidRPr="00FB7859">
        <w:rPr>
          <w:rFonts w:ascii="Arial" w:hAnsi="Arial" w:cs="Arial"/>
          <w:sz w:val="20"/>
          <w:szCs w:val="20"/>
          <w:lang w:val="en-GB"/>
        </w:rPr>
        <w:t xml:space="preserve">2 </w:t>
      </w:r>
      <w:r>
        <w:rPr>
          <w:rFonts w:ascii="Arial" w:hAnsi="Arial" w:cs="Arial"/>
          <w:sz w:val="20"/>
          <w:szCs w:val="20"/>
          <w:lang w:val="en-GB"/>
        </w:rPr>
        <w:t>refers to the following statement from above table</w:t>
      </w:r>
    </w:p>
    <w:p w14:paraId="10D5E230" w14:textId="4D200D31" w:rsidR="00FB7859" w:rsidRDefault="00FB7859" w:rsidP="00FB7859">
      <w:pPr>
        <w:pStyle w:val="ListParagraph"/>
        <w:overflowPunct/>
        <w:autoSpaceDE/>
        <w:autoSpaceDN/>
        <w:adjustRightInd/>
        <w:ind w:left="0"/>
        <w:contextualSpacing w:val="0"/>
        <w:textAlignment w:val="auto"/>
        <w:rPr>
          <w:rFonts w:ascii="Arial" w:hAnsi="Arial" w:cs="Arial"/>
          <w:color w:val="1F497D"/>
          <w:sz w:val="20"/>
          <w:szCs w:val="20"/>
          <w:lang w:val="en-GB"/>
        </w:rPr>
      </w:pPr>
      <w:r w:rsidRPr="00FB7859">
        <w:rPr>
          <w:rFonts w:ascii="Arial" w:hAnsi="Arial" w:cs="Arial"/>
          <w:noProof/>
          <w:color w:val="1F497D"/>
          <w:sz w:val="20"/>
          <w:szCs w:val="20"/>
        </w:rPr>
        <w:lastRenderedPageBreak/>
        <mc:AlternateContent>
          <mc:Choice Requires="wps">
            <w:drawing>
              <wp:anchor distT="45720" distB="45720" distL="114300" distR="114300" simplePos="0" relativeHeight="251663360" behindDoc="0" locked="0" layoutInCell="1" allowOverlap="1" wp14:anchorId="6C15964F" wp14:editId="49DBFDDA">
                <wp:simplePos x="0" y="0"/>
                <wp:positionH relativeFrom="column">
                  <wp:posOffset>77470</wp:posOffset>
                </wp:positionH>
                <wp:positionV relativeFrom="paragraph">
                  <wp:posOffset>3175</wp:posOffset>
                </wp:positionV>
                <wp:extent cx="6065520" cy="548640"/>
                <wp:effectExtent l="0" t="0" r="1143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548640"/>
                        </a:xfrm>
                        <a:prstGeom prst="rect">
                          <a:avLst/>
                        </a:prstGeom>
                        <a:solidFill>
                          <a:srgbClr val="FFFFFF"/>
                        </a:solidFill>
                        <a:ln w="9525">
                          <a:solidFill>
                            <a:srgbClr val="000000"/>
                          </a:solidFill>
                          <a:miter lim="800000"/>
                          <a:headEnd/>
                          <a:tailEnd/>
                        </a:ln>
                      </wps:spPr>
                      <wps:txbx>
                        <w:txbxContent>
                          <w:p w14:paraId="22D0793C" w14:textId="34F41BAD" w:rsidR="00FB7859" w:rsidRPr="00FB7859" w:rsidRDefault="00FB7859" w:rsidP="00FB7859">
                            <w:pPr>
                              <w:ind w:left="568"/>
                              <w:rPr>
                                <w:rFonts w:ascii="Arial" w:eastAsia="Times New Roman" w:hAnsi="Arial" w:cs="Arial"/>
                                <w:color w:val="000000" w:themeColor="text1"/>
                                <w:sz w:val="20"/>
                                <w:szCs w:val="20"/>
                              </w:rPr>
                            </w:pPr>
                            <w:r w:rsidRPr="00FB7859">
                              <w:rPr>
                                <w:rFonts w:ascii="Arial" w:eastAsia="Times New Roman" w:hAnsi="Arial" w:cs="Arial"/>
                                <w:color w:val="000000" w:themeColor="text1"/>
                                <w:sz w:val="20"/>
                                <w:szCs w:val="20"/>
                              </w:rPr>
                              <w:t xml:space="preserve">2. When CA is configured, whether the same beam correspondence relationship for beam management is supported across CCs. </w:t>
                            </w:r>
                          </w:p>
                          <w:p w14:paraId="32C7AB85" w14:textId="77777777" w:rsidR="00FB7859" w:rsidRPr="00FB7859" w:rsidRDefault="00FB7859" w:rsidP="00FB7859">
                            <w:pPr>
                              <w:pStyle w:val="ListParagraph"/>
                              <w:overflowPunct/>
                              <w:autoSpaceDE/>
                              <w:autoSpaceDN/>
                              <w:adjustRightInd/>
                              <w:ind w:left="568"/>
                              <w:contextualSpacing w:val="0"/>
                              <w:textAlignment w:val="auto"/>
                              <w:rPr>
                                <w:rFonts w:ascii="Arial" w:hAnsi="Arial" w:cs="Arial"/>
                                <w:sz w:val="20"/>
                                <w:szCs w:val="20"/>
                                <w:lang w:val="en-GB"/>
                              </w:rPr>
                            </w:pPr>
                            <w:r w:rsidRPr="00FB7859">
                              <w:rPr>
                                <w:rFonts w:ascii="Arial" w:eastAsia="Times New Roman" w:hAnsi="Arial" w:cs="Arial"/>
                                <w:color w:val="FF0000"/>
                                <w:sz w:val="20"/>
                                <w:szCs w:val="20"/>
                              </w:rPr>
                              <w:t>Note: RAN4 to check the feasibility for component-2, e.g. intra-band or inter-band</w:t>
                            </w:r>
                          </w:p>
                          <w:p w14:paraId="5417D7B4" w14:textId="088A192A" w:rsidR="00FB7859" w:rsidRDefault="00FB78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15964F" id="_x0000_s1027" type="#_x0000_t202" style="position:absolute;margin-left:6.1pt;margin-top:.25pt;width:477.6pt;height:43.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">
                <v:textbox>
                  <w:txbxContent>
                    <w:p w14:paraId="22D0793C" w14:textId="34F41BAD" w:rsidR="00FB7859" w:rsidRPr="00FB7859" w:rsidRDefault="00FB7859" w:rsidP="00FB7859">
                      <w:pPr>
                        <w:ind w:left="568"/>
                        <w:rPr>
                          <w:rFonts w:ascii="Arial" w:eastAsia="Times New Roman" w:hAnsi="Arial" w:cs="Arial"/>
                          <w:color w:val="000000" w:themeColor="text1"/>
                          <w:sz w:val="20"/>
                          <w:szCs w:val="20"/>
                        </w:rPr>
                      </w:pPr>
                      <w:r w:rsidRPr="00FB7859">
                        <w:rPr>
                          <w:rFonts w:ascii="Arial" w:eastAsia="Times New Roman" w:hAnsi="Arial" w:cs="Arial"/>
                          <w:color w:val="000000" w:themeColor="text1"/>
                          <w:sz w:val="20"/>
                          <w:szCs w:val="20"/>
                        </w:rPr>
                        <w:t xml:space="preserve">2. When CA is configured, whether the same beam correspondence relationship for beam management is supported across CCs. </w:t>
                      </w:r>
                    </w:p>
                    <w:p w14:paraId="32C7AB85" w14:textId="77777777" w:rsidR="00FB7859" w:rsidRPr="00FB7859" w:rsidRDefault="00FB7859" w:rsidP="00FB7859">
                      <w:pPr>
                        <w:pStyle w:val="ListParagraph"/>
                        <w:overflowPunct/>
                        <w:autoSpaceDE/>
                        <w:autoSpaceDN/>
                        <w:adjustRightInd/>
                        <w:ind w:left="568"/>
                        <w:contextualSpacing w:val="0"/>
                        <w:textAlignment w:val="auto"/>
                        <w:rPr>
                          <w:rFonts w:ascii="Arial" w:hAnsi="Arial" w:cs="Arial"/>
                          <w:sz w:val="20"/>
                          <w:szCs w:val="20"/>
                          <w:lang w:val="en-GB"/>
                        </w:rPr>
                      </w:pPr>
                      <w:r w:rsidRPr="00FB7859">
                        <w:rPr>
                          <w:rFonts w:ascii="Arial" w:eastAsia="Times New Roman" w:hAnsi="Arial" w:cs="Arial"/>
                          <w:color w:val="FF0000"/>
                          <w:sz w:val="20"/>
                          <w:szCs w:val="20"/>
                        </w:rPr>
                        <w:t>Note: RAN4 to check the feasibility for component-2, e.g. intra-band or inter-band</w:t>
                      </w:r>
                    </w:p>
                    <w:p w14:paraId="5417D7B4" w14:textId="088A192A" w:rsidR="00FB7859" w:rsidRDefault="00FB7859"/>
                  </w:txbxContent>
                </v:textbox>
                <w10:wrap type="square"/>
              </v:shape>
            </w:pict>
          </mc:Fallback>
        </mc:AlternateContent>
      </w:r>
    </w:p>
    <w:p w14:paraId="2AAE52D6" w14:textId="71068413" w:rsidR="00FB7859" w:rsidRDefault="00565023" w:rsidP="00FB7859">
      <w:pPr>
        <w:pStyle w:val="Heading2"/>
      </w:pPr>
      <w:r>
        <w:t>Beam correspondence relationship for CA</w:t>
      </w:r>
    </w:p>
    <w:p w14:paraId="2205AEC3" w14:textId="2959C1D5" w:rsidR="00565023" w:rsidRDefault="00565023" w:rsidP="00565023">
      <w:pPr>
        <w:rPr>
          <w:rFonts w:ascii="Arial" w:hAnsi="Arial" w:cs="Arial"/>
          <w:sz w:val="20"/>
          <w:szCs w:val="20"/>
          <w:lang w:val="en-GB"/>
        </w:rPr>
      </w:pPr>
      <w:r>
        <w:rPr>
          <w:rFonts w:ascii="Arial" w:hAnsi="Arial" w:cs="Arial"/>
          <w:sz w:val="20"/>
          <w:szCs w:val="20"/>
          <w:lang w:val="en-GB"/>
        </w:rPr>
        <w:t>For inter-band CA, we don’t think the beam correspondence relationship can be carried out from one band to another band</w:t>
      </w:r>
      <w:r w:rsidR="00BE4D7C">
        <w:rPr>
          <w:rFonts w:ascii="Arial" w:hAnsi="Arial" w:cs="Arial"/>
          <w:sz w:val="20"/>
          <w:szCs w:val="20"/>
          <w:lang w:val="en-GB"/>
        </w:rPr>
        <w:t xml:space="preserve"> due to large frequency separation between bands</w:t>
      </w:r>
      <w:r>
        <w:rPr>
          <w:rFonts w:ascii="Arial" w:hAnsi="Arial" w:cs="Arial"/>
          <w:sz w:val="20"/>
          <w:szCs w:val="20"/>
          <w:lang w:val="en-GB"/>
        </w:rPr>
        <w:t xml:space="preserve">. Codebook design for one band </w:t>
      </w:r>
      <w:r w:rsidR="00E024F1">
        <w:rPr>
          <w:rFonts w:ascii="Arial" w:hAnsi="Arial" w:cs="Arial"/>
          <w:sz w:val="20"/>
          <w:szCs w:val="20"/>
          <w:lang w:val="en-GB"/>
        </w:rPr>
        <w:t>is highly unlikely to</w:t>
      </w:r>
      <w:r>
        <w:rPr>
          <w:rFonts w:ascii="Arial" w:hAnsi="Arial" w:cs="Arial"/>
          <w:sz w:val="20"/>
          <w:szCs w:val="20"/>
          <w:lang w:val="en-GB"/>
        </w:rPr>
        <w:t xml:space="preserve"> be used for another band.</w:t>
      </w:r>
      <w:r w:rsidR="00927F49">
        <w:rPr>
          <w:rFonts w:ascii="Arial" w:hAnsi="Arial" w:cs="Arial"/>
          <w:sz w:val="20"/>
          <w:szCs w:val="20"/>
          <w:lang w:val="en-GB"/>
        </w:rPr>
        <w:t xml:space="preserve"> It</w:t>
      </w:r>
      <w:r w:rsidR="00E024F1">
        <w:rPr>
          <w:rFonts w:ascii="Arial" w:hAnsi="Arial" w:cs="Arial"/>
          <w:sz w:val="20"/>
          <w:szCs w:val="20"/>
          <w:lang w:val="en-GB"/>
        </w:rPr>
        <w:t xml:space="preserve"> is reasonable to assume the beam correspondence relationship is different across bands. </w:t>
      </w:r>
    </w:p>
    <w:p w14:paraId="5F623853" w14:textId="77777777" w:rsidR="00BE4D7C" w:rsidRDefault="00BE4D7C" w:rsidP="00565023">
      <w:pPr>
        <w:rPr>
          <w:rFonts w:ascii="Arial" w:hAnsi="Arial" w:cs="Arial"/>
          <w:sz w:val="20"/>
          <w:szCs w:val="20"/>
          <w:lang w:val="en-GB"/>
        </w:rPr>
      </w:pPr>
    </w:p>
    <w:p w14:paraId="5617B16D" w14:textId="469E83F9" w:rsidR="00BE4D7C" w:rsidRPr="00E024F1" w:rsidRDefault="00BE4D7C" w:rsidP="00565023">
      <w:pPr>
        <w:rPr>
          <w:rFonts w:ascii="Arial" w:hAnsi="Arial" w:cs="Arial"/>
          <w:b/>
          <w:sz w:val="20"/>
          <w:szCs w:val="20"/>
          <w:lang w:val="en-GB"/>
        </w:rPr>
      </w:pPr>
      <w:r w:rsidRPr="00E024F1">
        <w:rPr>
          <w:rFonts w:ascii="Arial" w:hAnsi="Arial" w:cs="Arial"/>
          <w:b/>
          <w:sz w:val="20"/>
          <w:szCs w:val="20"/>
          <w:lang w:val="en-GB"/>
        </w:rPr>
        <w:t>Proposal 1: For inter-band CA</w:t>
      </w:r>
      <w:r w:rsidR="00927F49">
        <w:rPr>
          <w:rFonts w:ascii="Arial" w:hAnsi="Arial" w:cs="Arial"/>
          <w:b/>
          <w:sz w:val="20"/>
          <w:szCs w:val="20"/>
          <w:lang w:val="en-GB"/>
        </w:rPr>
        <w:t xml:space="preserve"> in FR2</w:t>
      </w:r>
      <w:r w:rsidRPr="00E024F1">
        <w:rPr>
          <w:rFonts w:ascii="Arial" w:hAnsi="Arial" w:cs="Arial"/>
          <w:b/>
          <w:sz w:val="20"/>
          <w:szCs w:val="20"/>
          <w:lang w:val="en-GB"/>
        </w:rPr>
        <w:t xml:space="preserve">, beam correspondence relationship is </w:t>
      </w:r>
      <w:r w:rsidR="00F9321F">
        <w:rPr>
          <w:rFonts w:ascii="Arial" w:hAnsi="Arial" w:cs="Arial"/>
          <w:b/>
          <w:sz w:val="20"/>
          <w:szCs w:val="20"/>
          <w:lang w:val="en-GB"/>
        </w:rPr>
        <w:t>considered</w:t>
      </w:r>
      <w:r w:rsidRPr="00E024F1">
        <w:rPr>
          <w:rFonts w:ascii="Arial" w:hAnsi="Arial" w:cs="Arial"/>
          <w:b/>
          <w:sz w:val="20"/>
          <w:szCs w:val="20"/>
          <w:lang w:val="en-GB"/>
        </w:rPr>
        <w:t xml:space="preserve"> </w:t>
      </w:r>
      <w:r w:rsidR="008B633B">
        <w:rPr>
          <w:rFonts w:ascii="Arial" w:hAnsi="Arial" w:cs="Arial"/>
          <w:b/>
          <w:sz w:val="20"/>
          <w:szCs w:val="20"/>
          <w:lang w:val="en-GB"/>
        </w:rPr>
        <w:t xml:space="preserve">to be </w:t>
      </w:r>
      <w:r w:rsidRPr="00E024F1">
        <w:rPr>
          <w:rFonts w:ascii="Arial" w:hAnsi="Arial" w:cs="Arial"/>
          <w:b/>
          <w:sz w:val="20"/>
          <w:szCs w:val="20"/>
          <w:lang w:val="en-GB"/>
        </w:rPr>
        <w:t>different across CCs within different bands.</w:t>
      </w:r>
    </w:p>
    <w:p w14:paraId="7313CFE7" w14:textId="77777777" w:rsidR="00BE4D7C" w:rsidRDefault="00BE4D7C" w:rsidP="00565023">
      <w:pPr>
        <w:rPr>
          <w:rFonts w:ascii="Arial" w:hAnsi="Arial" w:cs="Arial"/>
          <w:sz w:val="20"/>
          <w:szCs w:val="20"/>
          <w:lang w:val="en-GB"/>
        </w:rPr>
      </w:pPr>
    </w:p>
    <w:p w14:paraId="5A1BB9AB" w14:textId="0C16D4F7" w:rsidR="00BE4D7C" w:rsidRDefault="00BE4D7C" w:rsidP="00565023">
      <w:pPr>
        <w:rPr>
          <w:rFonts w:ascii="Arial" w:hAnsi="Arial" w:cs="Arial"/>
          <w:sz w:val="20"/>
          <w:szCs w:val="20"/>
          <w:lang w:val="en-GB"/>
        </w:rPr>
      </w:pPr>
      <w:r>
        <w:rPr>
          <w:rFonts w:ascii="Arial" w:hAnsi="Arial" w:cs="Arial"/>
          <w:sz w:val="20"/>
          <w:szCs w:val="20"/>
          <w:lang w:val="en-GB"/>
        </w:rPr>
        <w:t xml:space="preserve">For intra-band CA, the UE is </w:t>
      </w:r>
      <w:r w:rsidR="00EC57A0">
        <w:rPr>
          <w:rFonts w:ascii="Arial" w:hAnsi="Arial" w:cs="Arial"/>
          <w:sz w:val="20"/>
          <w:szCs w:val="20"/>
          <w:lang w:val="en-GB"/>
        </w:rPr>
        <w:t>designed</w:t>
      </w:r>
      <w:r>
        <w:rPr>
          <w:rFonts w:ascii="Arial" w:hAnsi="Arial" w:cs="Arial"/>
          <w:sz w:val="20"/>
          <w:szCs w:val="20"/>
          <w:lang w:val="en-GB"/>
        </w:rPr>
        <w:t xml:space="preserve"> </w:t>
      </w:r>
      <w:r w:rsidR="00EC57A0">
        <w:rPr>
          <w:rFonts w:ascii="Arial" w:hAnsi="Arial" w:cs="Arial"/>
          <w:sz w:val="20"/>
          <w:szCs w:val="20"/>
          <w:lang w:val="en-GB"/>
        </w:rPr>
        <w:t>to support</w:t>
      </w:r>
      <w:r w:rsidR="008B633B">
        <w:rPr>
          <w:rFonts w:ascii="Arial" w:hAnsi="Arial" w:cs="Arial"/>
          <w:sz w:val="20"/>
          <w:szCs w:val="20"/>
          <w:lang w:val="en-GB"/>
        </w:rPr>
        <w:t xml:space="preserve"> all CCs in</w:t>
      </w:r>
      <w:r w:rsidR="00EC57A0">
        <w:rPr>
          <w:rFonts w:ascii="Arial" w:hAnsi="Arial" w:cs="Arial"/>
          <w:sz w:val="20"/>
          <w:szCs w:val="20"/>
          <w:lang w:val="en-GB"/>
        </w:rPr>
        <w:t xml:space="preserve"> intra-band CA with </w:t>
      </w:r>
      <w:r w:rsidR="008B633B">
        <w:rPr>
          <w:rFonts w:ascii="Arial" w:hAnsi="Arial" w:cs="Arial"/>
          <w:sz w:val="20"/>
          <w:szCs w:val="20"/>
          <w:lang w:val="en-GB"/>
        </w:rPr>
        <w:t>one</w:t>
      </w:r>
      <w:r w:rsidR="00EC57A0">
        <w:rPr>
          <w:rFonts w:ascii="Arial" w:hAnsi="Arial" w:cs="Arial"/>
          <w:sz w:val="20"/>
          <w:szCs w:val="20"/>
          <w:lang w:val="en-GB"/>
        </w:rPr>
        <w:t xml:space="preserve"> beam</w:t>
      </w:r>
      <w:r w:rsidR="008B633B">
        <w:rPr>
          <w:rFonts w:ascii="Arial" w:hAnsi="Arial" w:cs="Arial"/>
          <w:sz w:val="20"/>
          <w:szCs w:val="20"/>
          <w:lang w:val="en-GB"/>
        </w:rPr>
        <w:t xml:space="preserve"> for current Rel-15 CA band configurations. </w:t>
      </w:r>
      <w:r w:rsidR="00EC57A0">
        <w:rPr>
          <w:rFonts w:ascii="Arial" w:hAnsi="Arial" w:cs="Arial"/>
          <w:sz w:val="20"/>
          <w:szCs w:val="20"/>
          <w:lang w:val="en-GB"/>
        </w:rPr>
        <w:t xml:space="preserve">If the same </w:t>
      </w:r>
      <w:r w:rsidR="008B633B">
        <w:rPr>
          <w:rFonts w:ascii="Arial" w:hAnsi="Arial" w:cs="Arial"/>
          <w:sz w:val="20"/>
          <w:szCs w:val="20"/>
          <w:lang w:val="en-GB"/>
        </w:rPr>
        <w:t>beam correspondence relationship for beam management is not supported across CCs</w:t>
      </w:r>
      <w:r w:rsidR="00927F49">
        <w:rPr>
          <w:rFonts w:ascii="Arial" w:hAnsi="Arial" w:cs="Arial"/>
          <w:sz w:val="20"/>
          <w:szCs w:val="20"/>
          <w:lang w:val="en-GB"/>
        </w:rPr>
        <w:t xml:space="preserve"> with</w:t>
      </w:r>
      <w:r w:rsidR="00861279">
        <w:rPr>
          <w:rFonts w:ascii="Arial" w:hAnsi="Arial" w:cs="Arial"/>
          <w:sz w:val="20"/>
          <w:szCs w:val="20"/>
          <w:lang w:val="en-GB"/>
        </w:rPr>
        <w:t>in</w:t>
      </w:r>
      <w:r w:rsidR="00927F49">
        <w:rPr>
          <w:rFonts w:ascii="Arial" w:hAnsi="Arial" w:cs="Arial"/>
          <w:sz w:val="20"/>
          <w:szCs w:val="20"/>
          <w:lang w:val="en-GB"/>
        </w:rPr>
        <w:t xml:space="preserve"> a beam</w:t>
      </w:r>
      <w:r w:rsidR="008B633B">
        <w:rPr>
          <w:rFonts w:ascii="Arial" w:hAnsi="Arial" w:cs="Arial"/>
          <w:sz w:val="20"/>
          <w:szCs w:val="20"/>
          <w:lang w:val="en-GB"/>
        </w:rPr>
        <w:t>, intra-band CA cannot work under current UE architecture</w:t>
      </w:r>
      <w:r w:rsidR="00927F49">
        <w:rPr>
          <w:rFonts w:ascii="Arial" w:hAnsi="Arial" w:cs="Arial"/>
          <w:sz w:val="20"/>
          <w:szCs w:val="20"/>
          <w:lang w:val="en-GB"/>
        </w:rPr>
        <w:t xml:space="preserve"> which supports only single beam connection</w:t>
      </w:r>
      <w:r w:rsidR="00861279">
        <w:rPr>
          <w:rFonts w:ascii="Arial" w:hAnsi="Arial" w:cs="Arial"/>
          <w:sz w:val="20"/>
          <w:szCs w:val="20"/>
          <w:lang w:val="en-GB"/>
        </w:rPr>
        <w:t xml:space="preserve"> at any given time</w:t>
      </w:r>
      <w:r w:rsidR="00927F49">
        <w:rPr>
          <w:rFonts w:ascii="Arial" w:hAnsi="Arial" w:cs="Arial"/>
          <w:sz w:val="20"/>
          <w:szCs w:val="20"/>
          <w:lang w:val="en-GB"/>
        </w:rPr>
        <w:t xml:space="preserve"> from UE perspective</w:t>
      </w:r>
      <w:r w:rsidR="008B633B">
        <w:rPr>
          <w:rFonts w:ascii="Arial" w:hAnsi="Arial" w:cs="Arial"/>
          <w:sz w:val="20"/>
          <w:szCs w:val="20"/>
          <w:lang w:val="en-GB"/>
        </w:rPr>
        <w:t xml:space="preserve">. </w:t>
      </w:r>
      <w:r w:rsidR="00927F49">
        <w:rPr>
          <w:rFonts w:ascii="Arial" w:hAnsi="Arial" w:cs="Arial"/>
          <w:sz w:val="20"/>
          <w:szCs w:val="20"/>
          <w:lang w:val="en-GB"/>
        </w:rPr>
        <w:t>It is reasonable to assume the same beam correspondence relationship is supported across CCs in intra-band CA in Rel</w:t>
      </w:r>
      <w:r w:rsidR="001838EA">
        <w:rPr>
          <w:rFonts w:ascii="Arial" w:hAnsi="Arial" w:cs="Arial"/>
          <w:sz w:val="20"/>
          <w:szCs w:val="20"/>
          <w:lang w:val="en-GB"/>
        </w:rPr>
        <w:t>-15 for all UEs.</w:t>
      </w:r>
    </w:p>
    <w:p w14:paraId="1E10BFCF" w14:textId="77777777" w:rsidR="00BE4D7C" w:rsidRDefault="00BE4D7C" w:rsidP="00565023">
      <w:pPr>
        <w:rPr>
          <w:rFonts w:ascii="Arial" w:hAnsi="Arial" w:cs="Arial"/>
          <w:sz w:val="20"/>
          <w:szCs w:val="20"/>
          <w:lang w:val="en-GB"/>
        </w:rPr>
      </w:pPr>
    </w:p>
    <w:p w14:paraId="0915F184" w14:textId="28ED549A" w:rsidR="00927F49" w:rsidRDefault="00927F49" w:rsidP="00927F49">
      <w:pPr>
        <w:rPr>
          <w:rFonts w:ascii="Arial" w:eastAsia="Times New Roman" w:hAnsi="Arial" w:cs="Arial"/>
          <w:b/>
          <w:color w:val="000000" w:themeColor="text1"/>
          <w:sz w:val="20"/>
          <w:szCs w:val="20"/>
        </w:rPr>
      </w:pPr>
      <w:r w:rsidRPr="00927F49">
        <w:rPr>
          <w:rFonts w:ascii="Arial" w:hAnsi="Arial" w:cs="Arial"/>
          <w:b/>
          <w:sz w:val="20"/>
          <w:szCs w:val="20"/>
          <w:lang w:val="en-GB"/>
        </w:rPr>
        <w:t xml:space="preserve">Proposal 2: For intra-band CA in FR2, </w:t>
      </w:r>
      <w:r w:rsidRPr="00927F49">
        <w:rPr>
          <w:rFonts w:ascii="Arial" w:eastAsia="Times New Roman" w:hAnsi="Arial" w:cs="Arial"/>
          <w:b/>
          <w:color w:val="000000" w:themeColor="text1"/>
          <w:sz w:val="20"/>
          <w:szCs w:val="20"/>
        </w:rPr>
        <w:t>the same beam correspondence relationship for beam mana</w:t>
      </w:r>
      <w:r w:rsidR="00F41FEB">
        <w:rPr>
          <w:rFonts w:ascii="Arial" w:eastAsia="Times New Roman" w:hAnsi="Arial" w:cs="Arial"/>
          <w:b/>
          <w:color w:val="000000" w:themeColor="text1"/>
          <w:sz w:val="20"/>
          <w:szCs w:val="20"/>
        </w:rPr>
        <w:t xml:space="preserve">gement is supported across CCs </w:t>
      </w:r>
      <w:r w:rsidR="006E426C">
        <w:rPr>
          <w:rFonts w:ascii="Arial" w:eastAsia="Times New Roman" w:hAnsi="Arial" w:cs="Arial"/>
          <w:b/>
          <w:color w:val="000000" w:themeColor="text1"/>
          <w:sz w:val="20"/>
          <w:szCs w:val="20"/>
        </w:rPr>
        <w:t xml:space="preserve">in Rel-15 </w:t>
      </w:r>
      <w:r w:rsidR="00F41FEB">
        <w:rPr>
          <w:rFonts w:ascii="Arial" w:eastAsia="Times New Roman" w:hAnsi="Arial" w:cs="Arial"/>
          <w:b/>
          <w:color w:val="000000" w:themeColor="text1"/>
          <w:sz w:val="20"/>
          <w:szCs w:val="20"/>
        </w:rPr>
        <w:t xml:space="preserve">and </w:t>
      </w:r>
      <w:r w:rsidR="001E2516">
        <w:rPr>
          <w:rFonts w:ascii="Arial" w:eastAsia="Times New Roman" w:hAnsi="Arial" w:cs="Arial"/>
          <w:b/>
          <w:color w:val="000000" w:themeColor="text1"/>
          <w:sz w:val="20"/>
          <w:szCs w:val="20"/>
        </w:rPr>
        <w:t>no requirement is specified</w:t>
      </w:r>
      <w:bookmarkStart w:id="1" w:name="_GoBack"/>
      <w:bookmarkEnd w:id="1"/>
      <w:r w:rsidR="00F41FEB">
        <w:rPr>
          <w:rFonts w:ascii="Arial" w:eastAsia="Times New Roman" w:hAnsi="Arial" w:cs="Arial"/>
          <w:b/>
          <w:color w:val="000000" w:themeColor="text1"/>
          <w:sz w:val="20"/>
          <w:szCs w:val="20"/>
        </w:rPr>
        <w:t>.</w:t>
      </w:r>
    </w:p>
    <w:p w14:paraId="1A1EB00D" w14:textId="77777777" w:rsidR="001838EA" w:rsidRDefault="001838EA" w:rsidP="00927F49">
      <w:pPr>
        <w:rPr>
          <w:rFonts w:ascii="Arial" w:eastAsia="Times New Roman" w:hAnsi="Arial" w:cs="Arial"/>
          <w:b/>
          <w:color w:val="000000" w:themeColor="text1"/>
          <w:sz w:val="20"/>
          <w:szCs w:val="20"/>
        </w:rPr>
      </w:pPr>
    </w:p>
    <w:p w14:paraId="26549AFF" w14:textId="609A0D4D" w:rsidR="001838EA" w:rsidRPr="00B11152" w:rsidRDefault="00B11152" w:rsidP="00927F49">
      <w:pP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With clarification</w:t>
      </w:r>
      <w:r w:rsidR="00F9321F">
        <w:rPr>
          <w:rFonts w:ascii="Arial" w:eastAsia="Times New Roman" w:hAnsi="Arial" w:cs="Arial"/>
          <w:color w:val="000000" w:themeColor="text1"/>
          <w:sz w:val="20"/>
          <w:szCs w:val="20"/>
        </w:rPr>
        <w:t>s</w:t>
      </w:r>
      <w:r>
        <w:rPr>
          <w:rFonts w:ascii="Arial" w:eastAsia="Times New Roman" w:hAnsi="Arial" w:cs="Arial"/>
          <w:color w:val="000000" w:themeColor="text1"/>
          <w:sz w:val="20"/>
          <w:szCs w:val="20"/>
        </w:rPr>
        <w:t xml:space="preserve"> in proposal 1 and proposal 2, i</w:t>
      </w:r>
      <w:r w:rsidR="001838EA" w:rsidRPr="001838EA">
        <w:rPr>
          <w:rFonts w:ascii="Arial" w:eastAsia="Times New Roman" w:hAnsi="Arial" w:cs="Arial"/>
          <w:color w:val="000000" w:themeColor="text1"/>
          <w:sz w:val="20"/>
          <w:szCs w:val="20"/>
        </w:rPr>
        <w:t xml:space="preserve">n current capability parameters [3], </w:t>
      </w:r>
      <w:proofErr w:type="spellStart"/>
      <w:r w:rsidRPr="00B11152">
        <w:rPr>
          <w:rFonts w:ascii="Arial" w:eastAsia="Times New Roman" w:hAnsi="Arial" w:cs="Arial"/>
          <w:i/>
          <w:color w:val="000000" w:themeColor="text1"/>
          <w:sz w:val="20"/>
          <w:szCs w:val="20"/>
        </w:rPr>
        <w:t>beamCorrespondenceCA</w:t>
      </w:r>
      <w:proofErr w:type="spellEnd"/>
      <w:r w:rsidRPr="00B11152">
        <w:rPr>
          <w:rFonts w:ascii="Arial" w:eastAsia="Times New Roman" w:hAnsi="Arial" w:cs="Arial"/>
          <w:i/>
          <w:color w:val="000000" w:themeColor="text1"/>
          <w:sz w:val="20"/>
          <w:szCs w:val="20"/>
        </w:rPr>
        <w:t xml:space="preserve"> </w:t>
      </w:r>
      <w:r>
        <w:rPr>
          <w:rFonts w:ascii="Arial" w:eastAsia="Times New Roman" w:hAnsi="Arial" w:cs="Arial"/>
          <w:color w:val="000000" w:themeColor="text1"/>
          <w:sz w:val="20"/>
          <w:szCs w:val="20"/>
        </w:rPr>
        <w:t xml:space="preserve">is not needed. Parameter </w:t>
      </w:r>
      <w:proofErr w:type="spellStart"/>
      <w:r w:rsidRPr="00B11152">
        <w:rPr>
          <w:rFonts w:ascii="Arial" w:eastAsia="Times New Roman" w:hAnsi="Arial" w:cs="Arial"/>
          <w:i/>
          <w:color w:val="000000" w:themeColor="text1"/>
          <w:sz w:val="20"/>
          <w:szCs w:val="20"/>
        </w:rPr>
        <w:t>beamCorrespondence</w:t>
      </w:r>
      <w:proofErr w:type="spellEnd"/>
      <w:r>
        <w:rPr>
          <w:rFonts w:ascii="Arial" w:eastAsia="Times New Roman" w:hAnsi="Arial" w:cs="Arial"/>
          <w:color w:val="000000" w:themeColor="text1"/>
          <w:sz w:val="20"/>
          <w:szCs w:val="20"/>
        </w:rPr>
        <w:t xml:space="preserve"> is sufficient</w:t>
      </w:r>
      <w:r w:rsidR="003B0A7C">
        <w:rPr>
          <w:rFonts w:ascii="Arial" w:eastAsia="Times New Roman" w:hAnsi="Arial" w:cs="Arial"/>
          <w:color w:val="000000" w:themeColor="text1"/>
          <w:sz w:val="20"/>
          <w:szCs w:val="20"/>
        </w:rPr>
        <w:t xml:space="preserve"> for CA as well</w:t>
      </w:r>
      <w:r>
        <w:rPr>
          <w:rFonts w:ascii="Arial" w:eastAsia="Times New Roman" w:hAnsi="Arial" w:cs="Arial"/>
          <w:color w:val="000000" w:themeColor="text1"/>
          <w:sz w:val="20"/>
          <w:szCs w:val="20"/>
        </w:rPr>
        <w:t>.</w:t>
      </w:r>
      <w:r w:rsidR="00F9321F">
        <w:rPr>
          <w:rFonts w:ascii="Arial" w:eastAsia="Times New Roman" w:hAnsi="Arial" w:cs="Arial"/>
          <w:color w:val="000000" w:themeColor="text1"/>
          <w:sz w:val="20"/>
          <w:szCs w:val="20"/>
        </w:rPr>
        <w:t xml:space="preserve"> See Table 1.</w:t>
      </w:r>
    </w:p>
    <w:p w14:paraId="444E6BF7" w14:textId="77777777" w:rsidR="00170F02" w:rsidRDefault="00170F02" w:rsidP="00DF0C1E">
      <w:pPr>
        <w:rPr>
          <w:rFonts w:ascii="Arial" w:hAnsi="Arial" w:cs="Arial"/>
          <w:sz w:val="20"/>
          <w:szCs w:val="20"/>
          <w:lang w:val="en-GB"/>
        </w:rPr>
      </w:pPr>
    </w:p>
    <w:p w14:paraId="415F3F07" w14:textId="46D0492A" w:rsidR="00170F02" w:rsidRPr="00B11152" w:rsidRDefault="00F9321F" w:rsidP="00F9321F">
      <w:pPr>
        <w:pStyle w:val="Caption"/>
        <w:jc w:val="center"/>
        <w:rPr>
          <w:rFonts w:ascii="Arial" w:hAnsi="Arial" w:cs="Arial"/>
          <w:sz w:val="20"/>
          <w:szCs w:val="20"/>
        </w:rPr>
      </w:pPr>
      <w:r>
        <w:t xml:space="preserve">Table </w:t>
      </w:r>
      <w:r w:rsidR="00BA5261">
        <w:rPr>
          <w:noProof/>
        </w:rPr>
        <w:fldChar w:fldCharType="begin"/>
      </w:r>
      <w:r w:rsidR="00BA5261">
        <w:rPr>
          <w:noProof/>
        </w:rPr>
        <w:instrText xml:space="preserve"> SEQ Table \* ARABIC </w:instrText>
      </w:r>
      <w:r w:rsidR="00BA5261">
        <w:rPr>
          <w:noProof/>
        </w:rPr>
        <w:fldChar w:fldCharType="separate"/>
      </w:r>
      <w:r>
        <w:rPr>
          <w:noProof/>
        </w:rPr>
        <w:t>1</w:t>
      </w:r>
      <w:r w:rsidR="00BA5261">
        <w:rPr>
          <w:noProof/>
        </w:rPr>
        <w:fldChar w:fldCharType="end"/>
      </w:r>
      <w:r>
        <w:t>.</w:t>
      </w:r>
      <w:r w:rsidRPr="00F9321F">
        <w:rPr>
          <w:rFonts w:ascii="Arial" w:hAnsi="Arial" w:cs="Arial"/>
          <w:sz w:val="20"/>
          <w:szCs w:val="20"/>
        </w:rPr>
        <w:t xml:space="preserve"> </w:t>
      </w:r>
      <w:r>
        <w:rPr>
          <w:rFonts w:ascii="Arial" w:hAnsi="Arial" w:cs="Arial"/>
          <w:sz w:val="20"/>
          <w:szCs w:val="20"/>
        </w:rPr>
        <w:t xml:space="preserve">Beam correspondence parameter </w:t>
      </w:r>
      <w:r w:rsidRPr="00B11152">
        <w:rPr>
          <w:rFonts w:ascii="Arial" w:hAnsi="Arial" w:cs="Arial"/>
          <w:sz w:val="20"/>
          <w:szCs w:val="20"/>
        </w:rPr>
        <w:t>description</w:t>
      </w:r>
      <w:r>
        <w:rPr>
          <w:rFonts w:ascii="Arial" w:hAnsi="Arial" w:cs="Arial"/>
          <w:sz w:val="20"/>
          <w:szCs w:val="20"/>
        </w:rPr>
        <w:t xml:space="preserve"> excerpt from</w:t>
      </w:r>
      <w:r w:rsidRPr="00B11152">
        <w:rPr>
          <w:rFonts w:ascii="Arial" w:hAnsi="Arial" w:cs="Arial"/>
          <w:sz w:val="20"/>
          <w:szCs w:val="20"/>
        </w:rPr>
        <w:t xml:space="preserve"> 38.306</w:t>
      </w:r>
    </w:p>
    <w:tbl>
      <w:tblPr>
        <w:tblW w:w="0" w:type="dxa"/>
        <w:tblInd w:w="-5" w:type="dxa"/>
        <w:tblCellMar>
          <w:left w:w="0" w:type="dxa"/>
          <w:right w:w="0" w:type="dxa"/>
        </w:tblCellMar>
        <w:tblLook w:val="04A0" w:firstRow="1" w:lastRow="0" w:firstColumn="1" w:lastColumn="0" w:noHBand="0" w:noVBand="1"/>
      </w:tblPr>
      <w:tblGrid>
        <w:gridCol w:w="6681"/>
        <w:gridCol w:w="705"/>
        <w:gridCol w:w="802"/>
        <w:gridCol w:w="706"/>
        <w:gridCol w:w="722"/>
      </w:tblGrid>
      <w:tr w:rsidR="00170F02" w14:paraId="5B480B58" w14:textId="77777777" w:rsidTr="00106601">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E01BCB7" w14:textId="77777777" w:rsidR="00170F02" w:rsidRDefault="00170F02" w:rsidP="00106601">
            <w:pPr>
              <w:pStyle w:val="TAH"/>
              <w:rPr>
                <w:rFonts w:cs="Arial"/>
                <w:szCs w:val="18"/>
                <w:lang w:val="en-GB"/>
              </w:rPr>
            </w:pPr>
            <w:r>
              <w:rPr>
                <w:lang w:val="en-GB"/>
              </w:rPr>
              <w:t>Definitions for parameters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3B1BC22" w14:textId="77777777" w:rsidR="00170F02" w:rsidRDefault="00170F02" w:rsidP="00106601">
            <w:pPr>
              <w:pStyle w:val="TAH"/>
              <w:rPr>
                <w:sz w:val="20"/>
                <w:szCs w:val="20"/>
                <w:lang w:val="en-GB"/>
              </w:rPr>
            </w:pPr>
            <w:r>
              <w:rPr>
                <w:lang w:val="en-GB"/>
              </w:rPr>
              <w:t>Per</w:t>
            </w:r>
          </w:p>
        </w:tc>
        <w:tc>
          <w:tcPr>
            <w:tcW w:w="81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48B1D5E" w14:textId="77777777" w:rsidR="00170F02" w:rsidRDefault="00170F02" w:rsidP="00106601">
            <w:pPr>
              <w:pStyle w:val="TAH"/>
              <w:rPr>
                <w:lang w:val="en-GB"/>
              </w:rPr>
            </w:pPr>
            <w:r>
              <w:rPr>
                <w:lang w:val="en-GB"/>
              </w:rPr>
              <w:t>M</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7F2A81F" w14:textId="77777777" w:rsidR="00170F02" w:rsidRDefault="00170F02" w:rsidP="00106601">
            <w:pPr>
              <w:pStyle w:val="TAH"/>
              <w:rPr>
                <w:lang w:val="en-GB"/>
              </w:rPr>
            </w:pPr>
            <w:r>
              <w:rPr>
                <w:lang w:val="en-GB"/>
              </w:rPr>
              <w:t>FDD-TDD</w:t>
            </w:r>
          </w:p>
          <w:p w14:paraId="5328623C" w14:textId="77777777" w:rsidR="00170F02" w:rsidRDefault="00170F02" w:rsidP="00106601">
            <w:pPr>
              <w:pStyle w:val="TAH"/>
              <w:rPr>
                <w:lang w:val="en-GB"/>
              </w:rPr>
            </w:pPr>
            <w:r>
              <w:rPr>
                <w:lang w:val="en-GB"/>
              </w:rPr>
              <w:t>DIFF</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F4D81BF" w14:textId="77777777" w:rsidR="00170F02" w:rsidRDefault="00170F02" w:rsidP="00106601">
            <w:pPr>
              <w:pStyle w:val="TAH"/>
              <w:rPr>
                <w:lang w:val="en-GB"/>
              </w:rPr>
            </w:pPr>
            <w:r>
              <w:rPr>
                <w:lang w:val="en-GB"/>
              </w:rPr>
              <w:t>FR1-FR2</w:t>
            </w:r>
          </w:p>
          <w:p w14:paraId="6B775014" w14:textId="77777777" w:rsidR="00170F02" w:rsidRDefault="00170F02" w:rsidP="00106601">
            <w:pPr>
              <w:pStyle w:val="TAH"/>
              <w:rPr>
                <w:lang w:val="en-GB"/>
              </w:rPr>
            </w:pPr>
            <w:r>
              <w:rPr>
                <w:lang w:val="en-GB"/>
              </w:rPr>
              <w:t>DIFF</w:t>
            </w:r>
          </w:p>
        </w:tc>
      </w:tr>
      <w:tr w:rsidR="00170F02" w14:paraId="74830237" w14:textId="77777777" w:rsidTr="00106601">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5E82760" w14:textId="77777777" w:rsidR="00170F02" w:rsidRDefault="00170F02" w:rsidP="00106601">
            <w:pPr>
              <w:pStyle w:val="TAL"/>
              <w:rPr>
                <w:b/>
                <w:bCs/>
                <w:i/>
                <w:iCs/>
                <w:lang w:val="en-GB"/>
              </w:rPr>
            </w:pPr>
            <w:proofErr w:type="spellStart"/>
            <w:r>
              <w:rPr>
                <w:b/>
                <w:bCs/>
                <w:i/>
                <w:iCs/>
                <w:lang w:val="en-GB"/>
              </w:rPr>
              <w:t>beamCorrespondence</w:t>
            </w:r>
            <w:proofErr w:type="spellEnd"/>
          </w:p>
          <w:p w14:paraId="663B8A1B" w14:textId="77777777" w:rsidR="00170F02" w:rsidRDefault="00170F02" w:rsidP="00106601">
            <w:pPr>
              <w:pStyle w:val="TAL"/>
              <w:rPr>
                <w:lang w:val="en-GB"/>
              </w:rPr>
            </w:pPr>
            <w:r>
              <w:rPr>
                <w:lang w:val="en-GB"/>
              </w:rPr>
              <w:t>Indicates whether UE supports beam correspondence as defined in &lt;TBD RAN4 &gt;.</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152E0DF2" w14:textId="77777777" w:rsidR="00170F02" w:rsidRDefault="00170F02" w:rsidP="00106601">
            <w:pPr>
              <w:pStyle w:val="TAL"/>
              <w:jc w:val="center"/>
              <w:rPr>
                <w:lang w:val="en-GB"/>
              </w:rPr>
            </w:pPr>
            <w:r>
              <w:rPr>
                <w:lang w:val="en-GB"/>
              </w:rPr>
              <w:t>Band</w:t>
            </w:r>
          </w:p>
        </w:tc>
        <w:tc>
          <w:tcPr>
            <w:tcW w:w="817" w:type="dxa"/>
            <w:tcBorders>
              <w:top w:val="nil"/>
              <w:left w:val="nil"/>
              <w:bottom w:val="single" w:sz="8" w:space="0" w:color="808080"/>
              <w:right w:val="single" w:sz="8" w:space="0" w:color="808080"/>
            </w:tcBorders>
            <w:tcMar>
              <w:top w:w="0" w:type="dxa"/>
              <w:left w:w="108" w:type="dxa"/>
              <w:bottom w:w="0" w:type="dxa"/>
              <w:right w:w="108" w:type="dxa"/>
            </w:tcMar>
            <w:hideMark/>
          </w:tcPr>
          <w:p w14:paraId="22D9B21E" w14:textId="77777777" w:rsidR="00170F02" w:rsidRDefault="00170F02" w:rsidP="00106601">
            <w:pPr>
              <w:pStyle w:val="TAL"/>
              <w:jc w:val="center"/>
              <w:rPr>
                <w:lang w:val="en-GB"/>
              </w:rPr>
            </w:pPr>
            <w:proofErr w:type="spellStart"/>
            <w:r>
              <w:rPr>
                <w:lang w:val="en-GB"/>
              </w:rPr>
              <w:t>Tbd</w:t>
            </w:r>
            <w:proofErr w:type="spellEnd"/>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1492DB07" w14:textId="77777777" w:rsidR="00170F02" w:rsidRDefault="00170F02" w:rsidP="00106601">
            <w:pPr>
              <w:pStyle w:val="TAL"/>
              <w:jc w:val="center"/>
              <w:rPr>
                <w:lang w:val="en-GB"/>
              </w:rPr>
            </w:pPr>
            <w:r>
              <w:rPr>
                <w:lang w:val="en-GB"/>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60E962DF" w14:textId="77777777" w:rsidR="00170F02" w:rsidRDefault="00170F02" w:rsidP="00106601">
            <w:pPr>
              <w:pStyle w:val="TAL"/>
              <w:jc w:val="center"/>
              <w:rPr>
                <w:lang w:val="en-GB"/>
              </w:rPr>
            </w:pPr>
            <w:r>
              <w:rPr>
                <w:lang w:val="en-GB"/>
              </w:rPr>
              <w:t>No</w:t>
            </w:r>
          </w:p>
        </w:tc>
      </w:tr>
      <w:tr w:rsidR="00170F02" w14:paraId="182514CF" w14:textId="77777777" w:rsidTr="00106601">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0F8E5D3" w14:textId="77777777" w:rsidR="00170F02" w:rsidRPr="00B11152" w:rsidRDefault="00170F02" w:rsidP="00106601">
            <w:pPr>
              <w:pStyle w:val="TAL"/>
              <w:rPr>
                <w:b/>
                <w:bCs/>
                <w:i/>
                <w:iCs/>
                <w:strike/>
                <w:lang w:val="en-GB"/>
              </w:rPr>
            </w:pPr>
            <w:proofErr w:type="spellStart"/>
            <w:r w:rsidRPr="00B11152">
              <w:rPr>
                <w:b/>
                <w:bCs/>
                <w:i/>
                <w:iCs/>
                <w:strike/>
                <w:highlight w:val="yellow"/>
                <w:lang w:val="en-GB"/>
              </w:rPr>
              <w:t>beamCorrespondenceCA</w:t>
            </w:r>
            <w:proofErr w:type="spellEnd"/>
          </w:p>
          <w:p w14:paraId="4795B495" w14:textId="77777777" w:rsidR="00170F02" w:rsidRPr="00B11152" w:rsidRDefault="00170F02" w:rsidP="00106601">
            <w:pPr>
              <w:pStyle w:val="TAL"/>
              <w:rPr>
                <w:strike/>
                <w:lang w:val="en-GB"/>
              </w:rPr>
            </w:pPr>
            <w:r w:rsidRPr="00B11152">
              <w:rPr>
                <w:strike/>
                <w:lang w:val="en-GB"/>
              </w:rPr>
              <w:t>Indicates whether UE configured with CA supports the same beam correspondence across all CCs as defined in &lt;TBD RAN4 &gt;.</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553D854E" w14:textId="77777777" w:rsidR="00170F02" w:rsidRPr="00B11152" w:rsidRDefault="00170F02" w:rsidP="00106601">
            <w:pPr>
              <w:pStyle w:val="TAL"/>
              <w:jc w:val="center"/>
              <w:rPr>
                <w:strike/>
                <w:lang w:val="en-GB"/>
              </w:rPr>
            </w:pPr>
            <w:r w:rsidRPr="00B11152">
              <w:rPr>
                <w:strike/>
                <w:lang w:val="en-GB"/>
              </w:rPr>
              <w:t>Band</w:t>
            </w:r>
          </w:p>
        </w:tc>
        <w:tc>
          <w:tcPr>
            <w:tcW w:w="817" w:type="dxa"/>
            <w:tcBorders>
              <w:top w:val="nil"/>
              <w:left w:val="nil"/>
              <w:bottom w:val="single" w:sz="8" w:space="0" w:color="808080"/>
              <w:right w:val="single" w:sz="8" w:space="0" w:color="808080"/>
            </w:tcBorders>
            <w:tcMar>
              <w:top w:w="0" w:type="dxa"/>
              <w:left w:w="108" w:type="dxa"/>
              <w:bottom w:w="0" w:type="dxa"/>
              <w:right w:w="108" w:type="dxa"/>
            </w:tcMar>
            <w:hideMark/>
          </w:tcPr>
          <w:p w14:paraId="342FDE9F" w14:textId="77777777" w:rsidR="00170F02" w:rsidRPr="00B11152" w:rsidRDefault="00170F02" w:rsidP="00106601">
            <w:pPr>
              <w:pStyle w:val="TAL"/>
              <w:jc w:val="center"/>
              <w:rPr>
                <w:strike/>
                <w:lang w:val="en-GB"/>
              </w:rPr>
            </w:pPr>
            <w:proofErr w:type="spellStart"/>
            <w:r w:rsidRPr="00B11152">
              <w:rPr>
                <w:strike/>
                <w:lang w:val="en-GB"/>
              </w:rPr>
              <w:t>Tbd</w:t>
            </w:r>
            <w:proofErr w:type="spellEnd"/>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2B7C5912" w14:textId="77777777" w:rsidR="00170F02" w:rsidRPr="00B11152" w:rsidRDefault="00170F02" w:rsidP="00106601">
            <w:pPr>
              <w:pStyle w:val="TAL"/>
              <w:jc w:val="center"/>
              <w:rPr>
                <w:strike/>
                <w:lang w:val="en-GB"/>
              </w:rPr>
            </w:pPr>
            <w:r w:rsidRPr="00B11152">
              <w:rPr>
                <w:strike/>
                <w:lang w:val="en-GB"/>
              </w:rP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5C71E32D" w14:textId="77777777" w:rsidR="00170F02" w:rsidRPr="00B11152" w:rsidRDefault="00170F02" w:rsidP="00106601">
            <w:pPr>
              <w:pStyle w:val="TAL"/>
              <w:jc w:val="center"/>
              <w:rPr>
                <w:strike/>
                <w:lang w:val="en-GB"/>
              </w:rPr>
            </w:pPr>
            <w:r w:rsidRPr="00B11152">
              <w:rPr>
                <w:strike/>
                <w:lang w:val="en-GB"/>
              </w:rPr>
              <w:t>No</w:t>
            </w:r>
          </w:p>
        </w:tc>
      </w:tr>
    </w:tbl>
    <w:p w14:paraId="0F90CEEE" w14:textId="77777777" w:rsidR="00170F02" w:rsidRPr="00DF0C1E" w:rsidRDefault="00170F02" w:rsidP="00DF0C1E">
      <w:pPr>
        <w:rPr>
          <w:rFonts w:ascii="Arial" w:hAnsi="Arial" w:cs="Arial"/>
          <w:sz w:val="20"/>
          <w:szCs w:val="20"/>
          <w:lang w:val="en-GB"/>
        </w:rPr>
      </w:pPr>
    </w:p>
    <w:p w14:paraId="3E7F2D53" w14:textId="77777777" w:rsidR="002977F1" w:rsidRDefault="002977F1" w:rsidP="00071E08">
      <w:pPr>
        <w:rPr>
          <w:rFonts w:ascii="Arial" w:hAnsi="Arial" w:cs="Arial"/>
          <w:sz w:val="20"/>
          <w:szCs w:val="20"/>
          <w:lang w:val="en-GB"/>
        </w:rPr>
      </w:pPr>
    </w:p>
    <w:p w14:paraId="43D5579F" w14:textId="61724F5C" w:rsidR="001838EA" w:rsidRPr="00CC4589" w:rsidRDefault="00CC4589" w:rsidP="00CC4589">
      <w:pPr>
        <w:rPr>
          <w:rFonts w:ascii="Arial" w:hAnsi="Arial" w:cs="Arial"/>
          <w:b/>
          <w:sz w:val="20"/>
          <w:szCs w:val="20"/>
          <w:lang w:val="en-GB"/>
        </w:rPr>
      </w:pPr>
      <w:r w:rsidRPr="00CC4589">
        <w:rPr>
          <w:rFonts w:ascii="Arial" w:hAnsi="Arial" w:cs="Arial"/>
          <w:b/>
          <w:sz w:val="20"/>
          <w:szCs w:val="20"/>
          <w:lang w:val="en-GB"/>
        </w:rPr>
        <w:t xml:space="preserve">Proposal 3: Remove capability parameter </w:t>
      </w:r>
      <w:proofErr w:type="spellStart"/>
      <w:r w:rsidRPr="00CC4589">
        <w:rPr>
          <w:rFonts w:ascii="Arial" w:hAnsi="Arial" w:cs="Arial"/>
          <w:b/>
          <w:i/>
          <w:sz w:val="20"/>
          <w:szCs w:val="20"/>
          <w:lang w:val="en-GB"/>
        </w:rPr>
        <w:t>beamCorrespondenceCA</w:t>
      </w:r>
      <w:proofErr w:type="spellEnd"/>
      <w:r w:rsidRPr="00CC4589">
        <w:rPr>
          <w:rFonts w:ascii="Arial" w:hAnsi="Arial" w:cs="Arial"/>
          <w:b/>
          <w:sz w:val="20"/>
          <w:szCs w:val="20"/>
          <w:lang w:val="en-GB"/>
        </w:rPr>
        <w:t xml:space="preserve"> from </w:t>
      </w:r>
      <w:r>
        <w:rPr>
          <w:rFonts w:ascii="Arial" w:hAnsi="Arial" w:cs="Arial"/>
          <w:b/>
          <w:sz w:val="20"/>
          <w:szCs w:val="20"/>
          <w:lang w:val="en-GB"/>
        </w:rPr>
        <w:t>TS 3</w:t>
      </w:r>
      <w:r w:rsidRPr="00CC4589">
        <w:rPr>
          <w:rFonts w:ascii="Arial" w:hAnsi="Arial" w:cs="Arial"/>
          <w:b/>
          <w:sz w:val="20"/>
          <w:szCs w:val="20"/>
          <w:lang w:val="en-GB"/>
        </w:rPr>
        <w:t>8.306</w:t>
      </w:r>
      <w:r w:rsidR="00861279">
        <w:rPr>
          <w:rFonts w:ascii="Arial" w:hAnsi="Arial" w:cs="Arial"/>
          <w:b/>
          <w:sz w:val="20"/>
          <w:szCs w:val="20"/>
          <w:lang w:val="en-GB"/>
        </w:rPr>
        <w:t xml:space="preserve"> based on proposal 1 and 2.</w:t>
      </w:r>
    </w:p>
    <w:p w14:paraId="7E6CAA6C" w14:textId="7021FD7F" w:rsidR="00ED42E3" w:rsidRPr="00E0728F" w:rsidRDefault="00ED42E3" w:rsidP="00B20116">
      <w:pPr>
        <w:rPr>
          <w:rFonts w:ascii="Arial" w:hAnsi="Arial" w:cs="Arial"/>
          <w:sz w:val="20"/>
          <w:szCs w:val="20"/>
        </w:rPr>
      </w:pPr>
    </w:p>
    <w:p w14:paraId="42AF4426" w14:textId="77777777" w:rsidR="00EE4489" w:rsidRDefault="0069757C" w:rsidP="00EE4489">
      <w:pPr>
        <w:pStyle w:val="Heading1"/>
      </w:pPr>
      <w:r w:rsidRPr="002D78E7">
        <w:t>Conclusion</w:t>
      </w:r>
    </w:p>
    <w:p w14:paraId="56F4218E" w14:textId="2490A9B9" w:rsidR="004112F4" w:rsidRDefault="00CC4589" w:rsidP="004112F4">
      <w:pPr>
        <w:rPr>
          <w:rFonts w:ascii="Arial" w:hAnsi="Arial" w:cs="Arial"/>
          <w:iCs/>
          <w:sz w:val="20"/>
          <w:szCs w:val="20"/>
        </w:rPr>
      </w:pPr>
      <w:r>
        <w:rPr>
          <w:rFonts w:ascii="Arial" w:hAnsi="Arial" w:cs="Arial"/>
          <w:iCs/>
          <w:sz w:val="20"/>
          <w:szCs w:val="20"/>
        </w:rPr>
        <w:t xml:space="preserve">Our view regarding </w:t>
      </w:r>
      <w:r w:rsidR="003B0A7C">
        <w:rPr>
          <w:rFonts w:ascii="Arial" w:hAnsi="Arial" w:cs="Arial"/>
          <w:iCs/>
          <w:sz w:val="20"/>
          <w:szCs w:val="20"/>
        </w:rPr>
        <w:t>component-2 is presented. We have following proposals.</w:t>
      </w:r>
    </w:p>
    <w:p w14:paraId="5A485924" w14:textId="77777777" w:rsidR="003B0A7C" w:rsidRDefault="003B0A7C" w:rsidP="004112F4">
      <w:pPr>
        <w:rPr>
          <w:rFonts w:ascii="Arial" w:hAnsi="Arial" w:cs="Arial"/>
          <w:iCs/>
          <w:sz w:val="20"/>
          <w:szCs w:val="20"/>
        </w:rPr>
      </w:pPr>
    </w:p>
    <w:p w14:paraId="29956EEF" w14:textId="77777777" w:rsidR="003B0A7C" w:rsidRPr="00E024F1" w:rsidRDefault="003B0A7C" w:rsidP="003B0A7C">
      <w:pPr>
        <w:rPr>
          <w:rFonts w:ascii="Arial" w:hAnsi="Arial" w:cs="Arial"/>
          <w:b/>
          <w:sz w:val="20"/>
          <w:szCs w:val="20"/>
          <w:lang w:val="en-GB"/>
        </w:rPr>
      </w:pPr>
      <w:r w:rsidRPr="00E024F1">
        <w:rPr>
          <w:rFonts w:ascii="Arial" w:hAnsi="Arial" w:cs="Arial"/>
          <w:b/>
          <w:sz w:val="20"/>
          <w:szCs w:val="20"/>
          <w:lang w:val="en-GB"/>
        </w:rPr>
        <w:t>Proposal 1: For inter-band CA</w:t>
      </w:r>
      <w:r>
        <w:rPr>
          <w:rFonts w:ascii="Arial" w:hAnsi="Arial" w:cs="Arial"/>
          <w:b/>
          <w:sz w:val="20"/>
          <w:szCs w:val="20"/>
          <w:lang w:val="en-GB"/>
        </w:rPr>
        <w:t xml:space="preserve"> in FR2</w:t>
      </w:r>
      <w:r w:rsidRPr="00E024F1">
        <w:rPr>
          <w:rFonts w:ascii="Arial" w:hAnsi="Arial" w:cs="Arial"/>
          <w:b/>
          <w:sz w:val="20"/>
          <w:szCs w:val="20"/>
          <w:lang w:val="en-GB"/>
        </w:rPr>
        <w:t xml:space="preserve">, beam correspondence relationship is </w:t>
      </w:r>
      <w:r>
        <w:rPr>
          <w:rFonts w:ascii="Arial" w:hAnsi="Arial" w:cs="Arial"/>
          <w:b/>
          <w:sz w:val="20"/>
          <w:szCs w:val="20"/>
          <w:lang w:val="en-GB"/>
        </w:rPr>
        <w:t>considered</w:t>
      </w:r>
      <w:r w:rsidRPr="00E024F1">
        <w:rPr>
          <w:rFonts w:ascii="Arial" w:hAnsi="Arial" w:cs="Arial"/>
          <w:b/>
          <w:sz w:val="20"/>
          <w:szCs w:val="20"/>
          <w:lang w:val="en-GB"/>
        </w:rPr>
        <w:t xml:space="preserve"> </w:t>
      </w:r>
      <w:r>
        <w:rPr>
          <w:rFonts w:ascii="Arial" w:hAnsi="Arial" w:cs="Arial"/>
          <w:b/>
          <w:sz w:val="20"/>
          <w:szCs w:val="20"/>
          <w:lang w:val="en-GB"/>
        </w:rPr>
        <w:t xml:space="preserve">to be </w:t>
      </w:r>
      <w:r w:rsidRPr="00E024F1">
        <w:rPr>
          <w:rFonts w:ascii="Arial" w:hAnsi="Arial" w:cs="Arial"/>
          <w:b/>
          <w:sz w:val="20"/>
          <w:szCs w:val="20"/>
          <w:lang w:val="en-GB"/>
        </w:rPr>
        <w:t>different across CCs within different bands.</w:t>
      </w:r>
    </w:p>
    <w:p w14:paraId="5CCBEA68" w14:textId="77777777" w:rsidR="003B0A7C" w:rsidRDefault="003B0A7C" w:rsidP="004112F4">
      <w:pPr>
        <w:rPr>
          <w:rFonts w:ascii="Arial" w:hAnsi="Arial" w:cs="Arial"/>
          <w:b/>
          <w:sz w:val="20"/>
          <w:szCs w:val="20"/>
        </w:rPr>
      </w:pPr>
    </w:p>
    <w:p w14:paraId="62C3654E" w14:textId="79B5B6D8" w:rsidR="003B0A7C" w:rsidRDefault="003B0A7C" w:rsidP="003B0A7C">
      <w:pPr>
        <w:rPr>
          <w:rFonts w:ascii="Arial" w:eastAsia="Times New Roman" w:hAnsi="Arial" w:cs="Arial"/>
          <w:b/>
          <w:color w:val="000000" w:themeColor="text1"/>
          <w:sz w:val="20"/>
          <w:szCs w:val="20"/>
        </w:rPr>
      </w:pPr>
      <w:r w:rsidRPr="00927F49">
        <w:rPr>
          <w:rFonts w:ascii="Arial" w:hAnsi="Arial" w:cs="Arial"/>
          <w:b/>
          <w:sz w:val="20"/>
          <w:szCs w:val="20"/>
          <w:lang w:val="en-GB"/>
        </w:rPr>
        <w:t xml:space="preserve">Proposal 2: For intra-band CA in FR2, </w:t>
      </w:r>
      <w:r w:rsidRPr="00927F49">
        <w:rPr>
          <w:rFonts w:ascii="Arial" w:eastAsia="Times New Roman" w:hAnsi="Arial" w:cs="Arial"/>
          <w:b/>
          <w:color w:val="000000" w:themeColor="text1"/>
          <w:sz w:val="20"/>
          <w:szCs w:val="20"/>
        </w:rPr>
        <w:t>the same beam correspondence relationship for beam mana</w:t>
      </w:r>
      <w:r w:rsidR="00F41FEB">
        <w:rPr>
          <w:rFonts w:ascii="Arial" w:eastAsia="Times New Roman" w:hAnsi="Arial" w:cs="Arial"/>
          <w:b/>
          <w:color w:val="000000" w:themeColor="text1"/>
          <w:sz w:val="20"/>
          <w:szCs w:val="20"/>
        </w:rPr>
        <w:t>gement is supported across CCs</w:t>
      </w:r>
      <w:r w:rsidR="00F41FEB" w:rsidRPr="00F41FEB">
        <w:rPr>
          <w:rFonts w:ascii="Arial" w:eastAsia="Times New Roman" w:hAnsi="Arial" w:cs="Arial"/>
          <w:b/>
          <w:color w:val="000000" w:themeColor="text1"/>
          <w:sz w:val="20"/>
          <w:szCs w:val="20"/>
        </w:rPr>
        <w:t xml:space="preserve"> </w:t>
      </w:r>
      <w:r w:rsidR="006E426C">
        <w:rPr>
          <w:rFonts w:ascii="Arial" w:eastAsia="Times New Roman" w:hAnsi="Arial" w:cs="Arial"/>
          <w:b/>
          <w:color w:val="000000" w:themeColor="text1"/>
          <w:sz w:val="20"/>
          <w:szCs w:val="20"/>
        </w:rPr>
        <w:t xml:space="preserve">in Rel-15 </w:t>
      </w:r>
      <w:r w:rsidR="001E2516">
        <w:rPr>
          <w:rFonts w:ascii="Arial" w:eastAsia="Times New Roman" w:hAnsi="Arial" w:cs="Arial"/>
          <w:b/>
          <w:color w:val="000000" w:themeColor="text1"/>
          <w:sz w:val="20"/>
          <w:szCs w:val="20"/>
        </w:rPr>
        <w:t>and no requirement is specified</w:t>
      </w:r>
      <w:r w:rsidR="00F41FEB">
        <w:rPr>
          <w:rFonts w:ascii="Arial" w:eastAsia="Times New Roman" w:hAnsi="Arial" w:cs="Arial"/>
          <w:b/>
          <w:color w:val="000000" w:themeColor="text1"/>
          <w:sz w:val="20"/>
          <w:szCs w:val="20"/>
        </w:rPr>
        <w:t>.</w:t>
      </w:r>
    </w:p>
    <w:p w14:paraId="05610484" w14:textId="77777777" w:rsidR="003B0A7C" w:rsidRDefault="003B0A7C" w:rsidP="003B0A7C">
      <w:pPr>
        <w:rPr>
          <w:rFonts w:ascii="Arial" w:hAnsi="Arial" w:cs="Arial"/>
          <w:sz w:val="20"/>
          <w:szCs w:val="20"/>
          <w:lang w:val="en-GB"/>
        </w:rPr>
      </w:pPr>
    </w:p>
    <w:p w14:paraId="75F6EB3B" w14:textId="47B30C50" w:rsidR="003B0A7C" w:rsidRPr="00CC4589" w:rsidRDefault="003B0A7C" w:rsidP="003B0A7C">
      <w:pPr>
        <w:rPr>
          <w:rFonts w:ascii="Arial" w:hAnsi="Arial" w:cs="Arial"/>
          <w:b/>
          <w:sz w:val="20"/>
          <w:szCs w:val="20"/>
          <w:lang w:val="en-GB"/>
        </w:rPr>
      </w:pPr>
      <w:r w:rsidRPr="00CC4589">
        <w:rPr>
          <w:rFonts w:ascii="Arial" w:hAnsi="Arial" w:cs="Arial"/>
          <w:b/>
          <w:sz w:val="20"/>
          <w:szCs w:val="20"/>
          <w:lang w:val="en-GB"/>
        </w:rPr>
        <w:t xml:space="preserve">Proposal 3: Remove capability parameter </w:t>
      </w:r>
      <w:proofErr w:type="spellStart"/>
      <w:r w:rsidRPr="00CC4589">
        <w:rPr>
          <w:rFonts w:ascii="Arial" w:hAnsi="Arial" w:cs="Arial"/>
          <w:b/>
          <w:i/>
          <w:sz w:val="20"/>
          <w:szCs w:val="20"/>
          <w:lang w:val="en-GB"/>
        </w:rPr>
        <w:t>beamCorrespondenceCA</w:t>
      </w:r>
      <w:proofErr w:type="spellEnd"/>
      <w:r w:rsidRPr="00CC4589">
        <w:rPr>
          <w:rFonts w:ascii="Arial" w:hAnsi="Arial" w:cs="Arial"/>
          <w:b/>
          <w:sz w:val="20"/>
          <w:szCs w:val="20"/>
          <w:lang w:val="en-GB"/>
        </w:rPr>
        <w:t xml:space="preserve"> from </w:t>
      </w:r>
      <w:r>
        <w:rPr>
          <w:rFonts w:ascii="Arial" w:hAnsi="Arial" w:cs="Arial"/>
          <w:b/>
          <w:sz w:val="20"/>
          <w:szCs w:val="20"/>
          <w:lang w:val="en-GB"/>
        </w:rPr>
        <w:t>TS 3</w:t>
      </w:r>
      <w:r w:rsidRPr="00CC4589">
        <w:rPr>
          <w:rFonts w:ascii="Arial" w:hAnsi="Arial" w:cs="Arial"/>
          <w:b/>
          <w:sz w:val="20"/>
          <w:szCs w:val="20"/>
          <w:lang w:val="en-GB"/>
        </w:rPr>
        <w:t>8.306</w:t>
      </w:r>
      <w:r w:rsidR="00861279">
        <w:rPr>
          <w:rFonts w:ascii="Arial" w:hAnsi="Arial" w:cs="Arial"/>
          <w:b/>
          <w:sz w:val="20"/>
          <w:szCs w:val="20"/>
          <w:lang w:val="en-GB"/>
        </w:rPr>
        <w:t xml:space="preserve"> based on proposal 1 and 2.</w:t>
      </w:r>
    </w:p>
    <w:p w14:paraId="09809538" w14:textId="77777777" w:rsidR="00857E78" w:rsidRDefault="00326424" w:rsidP="00287C05">
      <w:pPr>
        <w:pStyle w:val="Heading1"/>
        <w:widowControl w:val="0"/>
        <w:tabs>
          <w:tab w:val="right" w:pos="9639"/>
          <w:tab w:val="right" w:pos="13323"/>
        </w:tabs>
        <w:spacing w:after="0"/>
      </w:pPr>
      <w:r w:rsidRPr="00A27FB1">
        <w:lastRenderedPageBreak/>
        <w:t>References</w:t>
      </w:r>
    </w:p>
    <w:p w14:paraId="2C281F32" w14:textId="52C344A7" w:rsidR="00371E8B" w:rsidRDefault="00401973" w:rsidP="00EF6575">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w:t>
      </w:r>
      <w:r w:rsidR="00191931">
        <w:rPr>
          <w:rFonts w:ascii="Arial" w:hAnsi="Arial" w:cs="Arial"/>
          <w:sz w:val="20"/>
          <w:szCs w:val="20"/>
        </w:rPr>
        <w:t>4-1815049</w:t>
      </w:r>
      <w:r w:rsidR="008F39F2">
        <w:rPr>
          <w:rFonts w:ascii="Arial" w:hAnsi="Arial" w:cs="Arial"/>
          <w:sz w:val="20"/>
          <w:szCs w:val="20"/>
        </w:rPr>
        <w:t>, “</w:t>
      </w:r>
      <w:r w:rsidR="00191931">
        <w:rPr>
          <w:rFonts w:ascii="Arial" w:hAnsi="Arial" w:cs="Arial"/>
          <w:sz w:val="20"/>
          <w:szCs w:val="20"/>
        </w:rPr>
        <w:t xml:space="preserve"> Remaining issues on RAN4 feature list”, NTT DOCOMO, INC., RAN4#89, Spokane, US</w:t>
      </w:r>
    </w:p>
    <w:p w14:paraId="18768926" w14:textId="0D7E98CA" w:rsidR="00170F02" w:rsidRDefault="00170F02" w:rsidP="00EF6575">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R1-1812064, “RAN1 NR UE features”</w:t>
      </w:r>
    </w:p>
    <w:p w14:paraId="73CA0EDD" w14:textId="3A2C3854" w:rsidR="00341AAA" w:rsidRPr="00371E8B" w:rsidRDefault="00CC4589" w:rsidP="00EF6575">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 xml:space="preserve">3GPP TS </w:t>
      </w:r>
      <w:r w:rsidR="00191931">
        <w:rPr>
          <w:rFonts w:ascii="Arial" w:hAnsi="Arial" w:cs="Arial"/>
          <w:sz w:val="20"/>
          <w:szCs w:val="20"/>
        </w:rPr>
        <w:t>38.306, V15.4.0</w:t>
      </w:r>
    </w:p>
    <w:p w14:paraId="62F7752C" w14:textId="77777777" w:rsidR="00922FA1" w:rsidRPr="00EF6575" w:rsidRDefault="00922FA1" w:rsidP="00EF6575">
      <w:pPr>
        <w:rPr>
          <w:rFonts w:ascii="Arial" w:hAnsi="Arial" w:cs="Arial"/>
          <w:sz w:val="20"/>
          <w:szCs w:val="20"/>
        </w:rPr>
      </w:pPr>
    </w:p>
    <w:sectPr w:rsidR="00922FA1" w:rsidRPr="00EF6575"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650AA" w14:textId="77777777" w:rsidR="001E1E3A" w:rsidRDefault="001E1E3A">
      <w:r>
        <w:separator/>
      </w:r>
    </w:p>
  </w:endnote>
  <w:endnote w:type="continuationSeparator" w:id="0">
    <w:p w14:paraId="53CB8DCA" w14:textId="77777777" w:rsidR="001E1E3A" w:rsidRDefault="001E1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3D3F68" w:rsidRDefault="003D3F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3D3F68" w:rsidRDefault="003D3F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3D3F68" w:rsidRDefault="003D3F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2516">
      <w:rPr>
        <w:rStyle w:val="PageNumber"/>
      </w:rPr>
      <w:t>3</w:t>
    </w:r>
    <w:r>
      <w:rPr>
        <w:rStyle w:val="PageNumber"/>
      </w:rPr>
      <w:fldChar w:fldCharType="end"/>
    </w:r>
  </w:p>
  <w:p w14:paraId="1BA570F2" w14:textId="77777777" w:rsidR="003D3F68" w:rsidRDefault="003D3F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80C40" w14:textId="77777777" w:rsidR="001E1E3A" w:rsidRDefault="001E1E3A">
      <w:r>
        <w:separator/>
      </w:r>
    </w:p>
  </w:footnote>
  <w:footnote w:type="continuationSeparator" w:id="0">
    <w:p w14:paraId="4C77D701" w14:textId="77777777" w:rsidR="001E1E3A" w:rsidRDefault="001E1E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444376"/>
    <w:multiLevelType w:val="hybridMultilevel"/>
    <w:tmpl w:val="A934DE12"/>
    <w:lvl w:ilvl="0" w:tplc="EFE00DBC">
      <w:start w:val="1"/>
      <w:numFmt w:val="bullet"/>
      <w:lvlText w:val="•"/>
      <w:lvlJc w:val="left"/>
      <w:pPr>
        <w:tabs>
          <w:tab w:val="num" w:pos="720"/>
        </w:tabs>
        <w:ind w:left="720" w:hanging="360"/>
      </w:pPr>
      <w:rPr>
        <w:rFonts w:ascii="Arial" w:hAnsi="Arial" w:hint="default"/>
      </w:rPr>
    </w:lvl>
    <w:lvl w:ilvl="1" w:tplc="6A9E89B8">
      <w:start w:val="1"/>
      <w:numFmt w:val="bullet"/>
      <w:lvlText w:val="•"/>
      <w:lvlJc w:val="left"/>
      <w:pPr>
        <w:tabs>
          <w:tab w:val="num" w:pos="1440"/>
        </w:tabs>
        <w:ind w:left="1440" w:hanging="360"/>
      </w:pPr>
      <w:rPr>
        <w:rFonts w:ascii="Arial" w:hAnsi="Arial" w:hint="default"/>
      </w:rPr>
    </w:lvl>
    <w:lvl w:ilvl="2" w:tplc="D73E1842">
      <w:start w:val="1"/>
      <w:numFmt w:val="bullet"/>
      <w:lvlText w:val="•"/>
      <w:lvlJc w:val="left"/>
      <w:pPr>
        <w:tabs>
          <w:tab w:val="num" w:pos="2160"/>
        </w:tabs>
        <w:ind w:left="2160" w:hanging="360"/>
      </w:pPr>
      <w:rPr>
        <w:rFonts w:ascii="Arial" w:hAnsi="Arial" w:hint="default"/>
      </w:rPr>
    </w:lvl>
    <w:lvl w:ilvl="3" w:tplc="206AC5DE" w:tentative="1">
      <w:start w:val="1"/>
      <w:numFmt w:val="bullet"/>
      <w:lvlText w:val="•"/>
      <w:lvlJc w:val="left"/>
      <w:pPr>
        <w:tabs>
          <w:tab w:val="num" w:pos="2880"/>
        </w:tabs>
        <w:ind w:left="2880" w:hanging="360"/>
      </w:pPr>
      <w:rPr>
        <w:rFonts w:ascii="Arial" w:hAnsi="Arial" w:hint="default"/>
      </w:rPr>
    </w:lvl>
    <w:lvl w:ilvl="4" w:tplc="92BA7AC2" w:tentative="1">
      <w:start w:val="1"/>
      <w:numFmt w:val="bullet"/>
      <w:lvlText w:val="•"/>
      <w:lvlJc w:val="left"/>
      <w:pPr>
        <w:tabs>
          <w:tab w:val="num" w:pos="3600"/>
        </w:tabs>
        <w:ind w:left="3600" w:hanging="360"/>
      </w:pPr>
      <w:rPr>
        <w:rFonts w:ascii="Arial" w:hAnsi="Arial" w:hint="default"/>
      </w:rPr>
    </w:lvl>
    <w:lvl w:ilvl="5" w:tplc="FDBE01D0" w:tentative="1">
      <w:start w:val="1"/>
      <w:numFmt w:val="bullet"/>
      <w:lvlText w:val="•"/>
      <w:lvlJc w:val="left"/>
      <w:pPr>
        <w:tabs>
          <w:tab w:val="num" w:pos="4320"/>
        </w:tabs>
        <w:ind w:left="4320" w:hanging="360"/>
      </w:pPr>
      <w:rPr>
        <w:rFonts w:ascii="Arial" w:hAnsi="Arial" w:hint="default"/>
      </w:rPr>
    </w:lvl>
    <w:lvl w:ilvl="6" w:tplc="F294B20C" w:tentative="1">
      <w:start w:val="1"/>
      <w:numFmt w:val="bullet"/>
      <w:lvlText w:val="•"/>
      <w:lvlJc w:val="left"/>
      <w:pPr>
        <w:tabs>
          <w:tab w:val="num" w:pos="5040"/>
        </w:tabs>
        <w:ind w:left="5040" w:hanging="360"/>
      </w:pPr>
      <w:rPr>
        <w:rFonts w:ascii="Arial" w:hAnsi="Arial" w:hint="default"/>
      </w:rPr>
    </w:lvl>
    <w:lvl w:ilvl="7" w:tplc="0268CBD0" w:tentative="1">
      <w:start w:val="1"/>
      <w:numFmt w:val="bullet"/>
      <w:lvlText w:val="•"/>
      <w:lvlJc w:val="left"/>
      <w:pPr>
        <w:tabs>
          <w:tab w:val="num" w:pos="5760"/>
        </w:tabs>
        <w:ind w:left="5760" w:hanging="360"/>
      </w:pPr>
      <w:rPr>
        <w:rFonts w:ascii="Arial" w:hAnsi="Arial" w:hint="default"/>
      </w:rPr>
    </w:lvl>
    <w:lvl w:ilvl="8" w:tplc="630AEE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8F5798"/>
    <w:multiLevelType w:val="hybridMultilevel"/>
    <w:tmpl w:val="36B632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55241B85"/>
    <w:multiLevelType w:val="hybridMultilevel"/>
    <w:tmpl w:val="0C3CBFF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19"/>
  </w:num>
  <w:num w:numId="4">
    <w:abstractNumId w:val="14"/>
  </w:num>
  <w:num w:numId="5">
    <w:abstractNumId w:val="7"/>
  </w:num>
  <w:num w:numId="6">
    <w:abstractNumId w:val="1"/>
  </w:num>
  <w:num w:numId="7">
    <w:abstractNumId w:val="17"/>
  </w:num>
  <w:num w:numId="8">
    <w:abstractNumId w:val="8"/>
  </w:num>
  <w:num w:numId="9">
    <w:abstractNumId w:val="11"/>
  </w:num>
  <w:num w:numId="10">
    <w:abstractNumId w:val="21"/>
  </w:num>
  <w:num w:numId="11">
    <w:abstractNumId w:val="6"/>
  </w:num>
  <w:num w:numId="12">
    <w:abstractNumId w:val="5"/>
  </w:num>
  <w:num w:numId="13">
    <w:abstractNumId w:val="16"/>
  </w:num>
  <w:num w:numId="14">
    <w:abstractNumId w:val="20"/>
  </w:num>
  <w:num w:numId="15">
    <w:abstractNumId w:val="2"/>
  </w:num>
  <w:num w:numId="16">
    <w:abstractNumId w:val="15"/>
  </w:num>
  <w:num w:numId="17">
    <w:abstractNumId w:val="4"/>
  </w:num>
  <w:num w:numId="18">
    <w:abstractNumId w:val="0"/>
  </w:num>
  <w:num w:numId="19">
    <w:abstractNumId w:val="3"/>
  </w:num>
  <w:num w:numId="20">
    <w:abstractNumId w:val="9"/>
  </w:num>
  <w:num w:numId="21">
    <w:abstractNumId w:val="12"/>
  </w:num>
  <w:num w:numId="2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CFA"/>
    <w:rsid w:val="00022F47"/>
    <w:rsid w:val="00023A91"/>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460"/>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53E"/>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67B57"/>
    <w:rsid w:val="0007046D"/>
    <w:rsid w:val="00070561"/>
    <w:rsid w:val="00070ECC"/>
    <w:rsid w:val="000710B5"/>
    <w:rsid w:val="00071E08"/>
    <w:rsid w:val="00072B3F"/>
    <w:rsid w:val="000737DA"/>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3B4B"/>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3BC"/>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67C"/>
    <w:rsid w:val="000B79BF"/>
    <w:rsid w:val="000B7E76"/>
    <w:rsid w:val="000C084C"/>
    <w:rsid w:val="000C086D"/>
    <w:rsid w:val="000C0B1F"/>
    <w:rsid w:val="000C1EBE"/>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487"/>
    <w:rsid w:val="000D3CB5"/>
    <w:rsid w:val="000D4AAF"/>
    <w:rsid w:val="000D4E0C"/>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5081"/>
    <w:rsid w:val="000E58CF"/>
    <w:rsid w:val="000E5971"/>
    <w:rsid w:val="000E6208"/>
    <w:rsid w:val="000E6381"/>
    <w:rsid w:val="000E6A28"/>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5215"/>
    <w:rsid w:val="00105A36"/>
    <w:rsid w:val="00106494"/>
    <w:rsid w:val="00106D90"/>
    <w:rsid w:val="00106DE4"/>
    <w:rsid w:val="00106E80"/>
    <w:rsid w:val="00106F9D"/>
    <w:rsid w:val="001072D7"/>
    <w:rsid w:val="00112756"/>
    <w:rsid w:val="00112A1A"/>
    <w:rsid w:val="001135F5"/>
    <w:rsid w:val="00113626"/>
    <w:rsid w:val="00113700"/>
    <w:rsid w:val="001137CF"/>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15FA"/>
    <w:rsid w:val="00131FD4"/>
    <w:rsid w:val="00132987"/>
    <w:rsid w:val="00132C5B"/>
    <w:rsid w:val="00133256"/>
    <w:rsid w:val="00133896"/>
    <w:rsid w:val="00133BE4"/>
    <w:rsid w:val="00135E13"/>
    <w:rsid w:val="0013629F"/>
    <w:rsid w:val="00136BDF"/>
    <w:rsid w:val="00141387"/>
    <w:rsid w:val="00141560"/>
    <w:rsid w:val="00141C50"/>
    <w:rsid w:val="00142612"/>
    <w:rsid w:val="00142FDE"/>
    <w:rsid w:val="001430CD"/>
    <w:rsid w:val="0014331A"/>
    <w:rsid w:val="00143E19"/>
    <w:rsid w:val="00144026"/>
    <w:rsid w:val="001445CF"/>
    <w:rsid w:val="001460DE"/>
    <w:rsid w:val="00146CBA"/>
    <w:rsid w:val="00146D79"/>
    <w:rsid w:val="0014759B"/>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CC4"/>
    <w:rsid w:val="00161FE8"/>
    <w:rsid w:val="0016263B"/>
    <w:rsid w:val="00163472"/>
    <w:rsid w:val="00163997"/>
    <w:rsid w:val="00164213"/>
    <w:rsid w:val="00164897"/>
    <w:rsid w:val="001663D5"/>
    <w:rsid w:val="00166724"/>
    <w:rsid w:val="00166E5A"/>
    <w:rsid w:val="0016730C"/>
    <w:rsid w:val="001679C5"/>
    <w:rsid w:val="00167D4A"/>
    <w:rsid w:val="00170570"/>
    <w:rsid w:val="00170C0A"/>
    <w:rsid w:val="00170F02"/>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289"/>
    <w:rsid w:val="00181A53"/>
    <w:rsid w:val="00181C27"/>
    <w:rsid w:val="00181E0A"/>
    <w:rsid w:val="00182838"/>
    <w:rsid w:val="001830C6"/>
    <w:rsid w:val="001838EA"/>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1931"/>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3045"/>
    <w:rsid w:val="001C3588"/>
    <w:rsid w:val="001C3FC8"/>
    <w:rsid w:val="001C41EF"/>
    <w:rsid w:val="001C4AAD"/>
    <w:rsid w:val="001C5DB8"/>
    <w:rsid w:val="001C647A"/>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198"/>
    <w:rsid w:val="001D7BA7"/>
    <w:rsid w:val="001E05FF"/>
    <w:rsid w:val="001E0BE2"/>
    <w:rsid w:val="001E0CE2"/>
    <w:rsid w:val="001E0EF6"/>
    <w:rsid w:val="001E1023"/>
    <w:rsid w:val="001E1C0D"/>
    <w:rsid w:val="001E1E3A"/>
    <w:rsid w:val="001E22C9"/>
    <w:rsid w:val="001E2516"/>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1B5"/>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6D95"/>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5FE1"/>
    <w:rsid w:val="00276475"/>
    <w:rsid w:val="002778DC"/>
    <w:rsid w:val="00277B68"/>
    <w:rsid w:val="00277E13"/>
    <w:rsid w:val="00277EC1"/>
    <w:rsid w:val="00280813"/>
    <w:rsid w:val="00280A19"/>
    <w:rsid w:val="00280C54"/>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5802"/>
    <w:rsid w:val="00295964"/>
    <w:rsid w:val="00296B7E"/>
    <w:rsid w:val="00296FCC"/>
    <w:rsid w:val="002976AF"/>
    <w:rsid w:val="002977F1"/>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701E"/>
    <w:rsid w:val="002B75CC"/>
    <w:rsid w:val="002B7C7E"/>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0DB"/>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398"/>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66B5"/>
    <w:rsid w:val="0036684F"/>
    <w:rsid w:val="00366F0E"/>
    <w:rsid w:val="00367EDE"/>
    <w:rsid w:val="003706A0"/>
    <w:rsid w:val="00370A79"/>
    <w:rsid w:val="00370CDE"/>
    <w:rsid w:val="00371E8B"/>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A7C"/>
    <w:rsid w:val="003B0C9D"/>
    <w:rsid w:val="003B1819"/>
    <w:rsid w:val="003B1A92"/>
    <w:rsid w:val="003B273C"/>
    <w:rsid w:val="003B35DA"/>
    <w:rsid w:val="003B3BF9"/>
    <w:rsid w:val="003B429C"/>
    <w:rsid w:val="003B53D8"/>
    <w:rsid w:val="003B5F4D"/>
    <w:rsid w:val="003B71B0"/>
    <w:rsid w:val="003B7EB7"/>
    <w:rsid w:val="003C03E0"/>
    <w:rsid w:val="003C06DA"/>
    <w:rsid w:val="003C0F5B"/>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CF2"/>
    <w:rsid w:val="003E5136"/>
    <w:rsid w:val="003E5BF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2F4"/>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2D2"/>
    <w:rsid w:val="004729B1"/>
    <w:rsid w:val="00474729"/>
    <w:rsid w:val="00474CEA"/>
    <w:rsid w:val="0047586F"/>
    <w:rsid w:val="00475ACA"/>
    <w:rsid w:val="004764CF"/>
    <w:rsid w:val="00476CD7"/>
    <w:rsid w:val="00476ED8"/>
    <w:rsid w:val="00477349"/>
    <w:rsid w:val="00477AFF"/>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A7F10"/>
    <w:rsid w:val="004B09BD"/>
    <w:rsid w:val="004B19BF"/>
    <w:rsid w:val="004B1F23"/>
    <w:rsid w:val="004B235C"/>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A74"/>
    <w:rsid w:val="004C5AEC"/>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DE3"/>
    <w:rsid w:val="00512F21"/>
    <w:rsid w:val="005136CC"/>
    <w:rsid w:val="00515955"/>
    <w:rsid w:val="005167E8"/>
    <w:rsid w:val="00516ACC"/>
    <w:rsid w:val="00521EF7"/>
    <w:rsid w:val="00523A33"/>
    <w:rsid w:val="00524265"/>
    <w:rsid w:val="00524D75"/>
    <w:rsid w:val="00524F0F"/>
    <w:rsid w:val="00525010"/>
    <w:rsid w:val="00525775"/>
    <w:rsid w:val="00525911"/>
    <w:rsid w:val="00525E31"/>
    <w:rsid w:val="00526D84"/>
    <w:rsid w:val="0052707B"/>
    <w:rsid w:val="00527813"/>
    <w:rsid w:val="0052782A"/>
    <w:rsid w:val="005308FF"/>
    <w:rsid w:val="00530F4B"/>
    <w:rsid w:val="00531BD4"/>
    <w:rsid w:val="00531F08"/>
    <w:rsid w:val="005327B6"/>
    <w:rsid w:val="00532855"/>
    <w:rsid w:val="0053287C"/>
    <w:rsid w:val="005331CE"/>
    <w:rsid w:val="0053461F"/>
    <w:rsid w:val="00534832"/>
    <w:rsid w:val="00534C5F"/>
    <w:rsid w:val="0053509D"/>
    <w:rsid w:val="00535534"/>
    <w:rsid w:val="00535D52"/>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A27"/>
    <w:rsid w:val="00564C36"/>
    <w:rsid w:val="00565023"/>
    <w:rsid w:val="00565866"/>
    <w:rsid w:val="005658A5"/>
    <w:rsid w:val="005676E4"/>
    <w:rsid w:val="00570586"/>
    <w:rsid w:val="00570B85"/>
    <w:rsid w:val="005719CC"/>
    <w:rsid w:val="00572669"/>
    <w:rsid w:val="0057316B"/>
    <w:rsid w:val="00575ED0"/>
    <w:rsid w:val="00577A7D"/>
    <w:rsid w:val="0058009B"/>
    <w:rsid w:val="0058025A"/>
    <w:rsid w:val="0058187B"/>
    <w:rsid w:val="0058191F"/>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6B5B"/>
    <w:rsid w:val="00597E5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87"/>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08EC"/>
    <w:rsid w:val="006410AC"/>
    <w:rsid w:val="006411FD"/>
    <w:rsid w:val="00641397"/>
    <w:rsid w:val="006415CF"/>
    <w:rsid w:val="006418F8"/>
    <w:rsid w:val="00642A59"/>
    <w:rsid w:val="00642AEB"/>
    <w:rsid w:val="00643CD3"/>
    <w:rsid w:val="00643D1C"/>
    <w:rsid w:val="006440AA"/>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49F"/>
    <w:rsid w:val="006E2577"/>
    <w:rsid w:val="006E3112"/>
    <w:rsid w:val="006E426C"/>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82B"/>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2E09"/>
    <w:rsid w:val="00763170"/>
    <w:rsid w:val="007633EC"/>
    <w:rsid w:val="007634CB"/>
    <w:rsid w:val="007638BE"/>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4107"/>
    <w:rsid w:val="007846F4"/>
    <w:rsid w:val="007864B9"/>
    <w:rsid w:val="007867BB"/>
    <w:rsid w:val="00786E86"/>
    <w:rsid w:val="00787FC2"/>
    <w:rsid w:val="00790FEC"/>
    <w:rsid w:val="0079187E"/>
    <w:rsid w:val="00791CC0"/>
    <w:rsid w:val="00791D15"/>
    <w:rsid w:val="00792559"/>
    <w:rsid w:val="007927C7"/>
    <w:rsid w:val="007929B7"/>
    <w:rsid w:val="00793B4C"/>
    <w:rsid w:val="00793CC5"/>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72A8"/>
    <w:rsid w:val="007C7E0E"/>
    <w:rsid w:val="007D05FD"/>
    <w:rsid w:val="007D1BA4"/>
    <w:rsid w:val="007D2289"/>
    <w:rsid w:val="007D2823"/>
    <w:rsid w:val="007D2899"/>
    <w:rsid w:val="007D382B"/>
    <w:rsid w:val="007D3ACC"/>
    <w:rsid w:val="007D47CD"/>
    <w:rsid w:val="007D5A97"/>
    <w:rsid w:val="007D6CE6"/>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4E4"/>
    <w:rsid w:val="007E7886"/>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5FD"/>
    <w:rsid w:val="008017C0"/>
    <w:rsid w:val="00801901"/>
    <w:rsid w:val="00801D20"/>
    <w:rsid w:val="008027A2"/>
    <w:rsid w:val="00802DF8"/>
    <w:rsid w:val="00803BB2"/>
    <w:rsid w:val="00804227"/>
    <w:rsid w:val="00806522"/>
    <w:rsid w:val="00806D18"/>
    <w:rsid w:val="008070E2"/>
    <w:rsid w:val="00807123"/>
    <w:rsid w:val="0080737A"/>
    <w:rsid w:val="008077EA"/>
    <w:rsid w:val="00807B11"/>
    <w:rsid w:val="00807B5C"/>
    <w:rsid w:val="00810344"/>
    <w:rsid w:val="008125C7"/>
    <w:rsid w:val="008132A4"/>
    <w:rsid w:val="00813F05"/>
    <w:rsid w:val="008144EA"/>
    <w:rsid w:val="008152C9"/>
    <w:rsid w:val="00815410"/>
    <w:rsid w:val="00815824"/>
    <w:rsid w:val="00815D9B"/>
    <w:rsid w:val="00815F92"/>
    <w:rsid w:val="008167D2"/>
    <w:rsid w:val="008167F9"/>
    <w:rsid w:val="008169E8"/>
    <w:rsid w:val="00816A0D"/>
    <w:rsid w:val="00816A67"/>
    <w:rsid w:val="00817528"/>
    <w:rsid w:val="008209B8"/>
    <w:rsid w:val="00821285"/>
    <w:rsid w:val="008215B1"/>
    <w:rsid w:val="00821B3A"/>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5FD5"/>
    <w:rsid w:val="00836C03"/>
    <w:rsid w:val="00837AA5"/>
    <w:rsid w:val="0084009E"/>
    <w:rsid w:val="00840142"/>
    <w:rsid w:val="0084078A"/>
    <w:rsid w:val="008409E8"/>
    <w:rsid w:val="00841439"/>
    <w:rsid w:val="00841619"/>
    <w:rsid w:val="00842010"/>
    <w:rsid w:val="0084303C"/>
    <w:rsid w:val="0084341D"/>
    <w:rsid w:val="008436A4"/>
    <w:rsid w:val="0084379E"/>
    <w:rsid w:val="00844161"/>
    <w:rsid w:val="0084423C"/>
    <w:rsid w:val="008444D3"/>
    <w:rsid w:val="008448A4"/>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0269"/>
    <w:rsid w:val="00861279"/>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25"/>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5A34"/>
    <w:rsid w:val="008B62B4"/>
    <w:rsid w:val="008B633B"/>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4F"/>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4B4"/>
    <w:rsid w:val="00926EC6"/>
    <w:rsid w:val="00927F49"/>
    <w:rsid w:val="00930579"/>
    <w:rsid w:val="009306F3"/>
    <w:rsid w:val="009307BC"/>
    <w:rsid w:val="009309E2"/>
    <w:rsid w:val="00930B9D"/>
    <w:rsid w:val="00930BB1"/>
    <w:rsid w:val="009314C8"/>
    <w:rsid w:val="0093196F"/>
    <w:rsid w:val="00931B7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40CB"/>
    <w:rsid w:val="0094506E"/>
    <w:rsid w:val="009459C3"/>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571"/>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D78"/>
    <w:rsid w:val="009C2DEE"/>
    <w:rsid w:val="009C3935"/>
    <w:rsid w:val="009C4EB4"/>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F04"/>
    <w:rsid w:val="009F16A6"/>
    <w:rsid w:val="009F1E72"/>
    <w:rsid w:val="009F230A"/>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0B1"/>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0EC3"/>
    <w:rsid w:val="00A3102F"/>
    <w:rsid w:val="00A310A7"/>
    <w:rsid w:val="00A31110"/>
    <w:rsid w:val="00A321A2"/>
    <w:rsid w:val="00A32416"/>
    <w:rsid w:val="00A32478"/>
    <w:rsid w:val="00A324C8"/>
    <w:rsid w:val="00A32504"/>
    <w:rsid w:val="00A342B0"/>
    <w:rsid w:val="00A35069"/>
    <w:rsid w:val="00A3532D"/>
    <w:rsid w:val="00A364F4"/>
    <w:rsid w:val="00A36FC4"/>
    <w:rsid w:val="00A40A9B"/>
    <w:rsid w:val="00A40F53"/>
    <w:rsid w:val="00A4162D"/>
    <w:rsid w:val="00A4291F"/>
    <w:rsid w:val="00A429AA"/>
    <w:rsid w:val="00A43127"/>
    <w:rsid w:val="00A431F8"/>
    <w:rsid w:val="00A43200"/>
    <w:rsid w:val="00A45551"/>
    <w:rsid w:val="00A45996"/>
    <w:rsid w:val="00A46114"/>
    <w:rsid w:val="00A4716A"/>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99B"/>
    <w:rsid w:val="00A73CC6"/>
    <w:rsid w:val="00A745F2"/>
    <w:rsid w:val="00A74A61"/>
    <w:rsid w:val="00A764F1"/>
    <w:rsid w:val="00A76A2E"/>
    <w:rsid w:val="00A776C0"/>
    <w:rsid w:val="00A77CF3"/>
    <w:rsid w:val="00A80542"/>
    <w:rsid w:val="00A811E8"/>
    <w:rsid w:val="00A8157D"/>
    <w:rsid w:val="00A8177F"/>
    <w:rsid w:val="00A81B24"/>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218"/>
    <w:rsid w:val="00A903C8"/>
    <w:rsid w:val="00A90C92"/>
    <w:rsid w:val="00A90DBD"/>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494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0D"/>
    <w:rsid w:val="00AF19A0"/>
    <w:rsid w:val="00AF2A89"/>
    <w:rsid w:val="00AF37CB"/>
    <w:rsid w:val="00AF4EB8"/>
    <w:rsid w:val="00AF56DB"/>
    <w:rsid w:val="00AF58FE"/>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152"/>
    <w:rsid w:val="00B114CE"/>
    <w:rsid w:val="00B1150E"/>
    <w:rsid w:val="00B11CDD"/>
    <w:rsid w:val="00B128D7"/>
    <w:rsid w:val="00B12ACF"/>
    <w:rsid w:val="00B12D6A"/>
    <w:rsid w:val="00B14335"/>
    <w:rsid w:val="00B14745"/>
    <w:rsid w:val="00B14B6D"/>
    <w:rsid w:val="00B15743"/>
    <w:rsid w:val="00B1600B"/>
    <w:rsid w:val="00B172B9"/>
    <w:rsid w:val="00B20116"/>
    <w:rsid w:val="00B2023A"/>
    <w:rsid w:val="00B2068B"/>
    <w:rsid w:val="00B20AC8"/>
    <w:rsid w:val="00B20C4A"/>
    <w:rsid w:val="00B2245E"/>
    <w:rsid w:val="00B2267D"/>
    <w:rsid w:val="00B22ACA"/>
    <w:rsid w:val="00B22F67"/>
    <w:rsid w:val="00B23059"/>
    <w:rsid w:val="00B233BF"/>
    <w:rsid w:val="00B23737"/>
    <w:rsid w:val="00B23AEB"/>
    <w:rsid w:val="00B24269"/>
    <w:rsid w:val="00B24892"/>
    <w:rsid w:val="00B25B31"/>
    <w:rsid w:val="00B25D53"/>
    <w:rsid w:val="00B25F49"/>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D94"/>
    <w:rsid w:val="00B56138"/>
    <w:rsid w:val="00B579C8"/>
    <w:rsid w:val="00B6022D"/>
    <w:rsid w:val="00B61C7E"/>
    <w:rsid w:val="00B624FA"/>
    <w:rsid w:val="00B62685"/>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C52"/>
    <w:rsid w:val="00BA5261"/>
    <w:rsid w:val="00BA56F9"/>
    <w:rsid w:val="00BA6295"/>
    <w:rsid w:val="00BA687D"/>
    <w:rsid w:val="00BA687F"/>
    <w:rsid w:val="00BA75C5"/>
    <w:rsid w:val="00BA7D84"/>
    <w:rsid w:val="00BB0121"/>
    <w:rsid w:val="00BB03B5"/>
    <w:rsid w:val="00BB073C"/>
    <w:rsid w:val="00BB09C2"/>
    <w:rsid w:val="00BB0B27"/>
    <w:rsid w:val="00BB0E23"/>
    <w:rsid w:val="00BB0E3E"/>
    <w:rsid w:val="00BB16F4"/>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DC0"/>
    <w:rsid w:val="00BD3033"/>
    <w:rsid w:val="00BD33E3"/>
    <w:rsid w:val="00BD3DFE"/>
    <w:rsid w:val="00BD4DEC"/>
    <w:rsid w:val="00BD5377"/>
    <w:rsid w:val="00BD54ED"/>
    <w:rsid w:val="00BD5737"/>
    <w:rsid w:val="00BD5AF5"/>
    <w:rsid w:val="00BD5C2D"/>
    <w:rsid w:val="00BD5C46"/>
    <w:rsid w:val="00BD5EE4"/>
    <w:rsid w:val="00BD7726"/>
    <w:rsid w:val="00BD7791"/>
    <w:rsid w:val="00BD7967"/>
    <w:rsid w:val="00BD7AF2"/>
    <w:rsid w:val="00BE029D"/>
    <w:rsid w:val="00BE175F"/>
    <w:rsid w:val="00BE2082"/>
    <w:rsid w:val="00BE22E0"/>
    <w:rsid w:val="00BE23BB"/>
    <w:rsid w:val="00BE2650"/>
    <w:rsid w:val="00BE288D"/>
    <w:rsid w:val="00BE3F08"/>
    <w:rsid w:val="00BE4217"/>
    <w:rsid w:val="00BE4D7C"/>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0E6D"/>
    <w:rsid w:val="00C2185A"/>
    <w:rsid w:val="00C221C5"/>
    <w:rsid w:val="00C226F3"/>
    <w:rsid w:val="00C22D3E"/>
    <w:rsid w:val="00C23055"/>
    <w:rsid w:val="00C23FBD"/>
    <w:rsid w:val="00C24C35"/>
    <w:rsid w:val="00C24DDB"/>
    <w:rsid w:val="00C26F4A"/>
    <w:rsid w:val="00C27668"/>
    <w:rsid w:val="00C278D5"/>
    <w:rsid w:val="00C27F21"/>
    <w:rsid w:val="00C31031"/>
    <w:rsid w:val="00C312E9"/>
    <w:rsid w:val="00C3161D"/>
    <w:rsid w:val="00C32F76"/>
    <w:rsid w:val="00C332D0"/>
    <w:rsid w:val="00C3463A"/>
    <w:rsid w:val="00C346C4"/>
    <w:rsid w:val="00C352C1"/>
    <w:rsid w:val="00C36BD4"/>
    <w:rsid w:val="00C37602"/>
    <w:rsid w:val="00C37693"/>
    <w:rsid w:val="00C3791A"/>
    <w:rsid w:val="00C37FC9"/>
    <w:rsid w:val="00C40AB4"/>
    <w:rsid w:val="00C40AE2"/>
    <w:rsid w:val="00C42FFC"/>
    <w:rsid w:val="00C4302C"/>
    <w:rsid w:val="00C432F5"/>
    <w:rsid w:val="00C43598"/>
    <w:rsid w:val="00C45C9B"/>
    <w:rsid w:val="00C45F40"/>
    <w:rsid w:val="00C468F5"/>
    <w:rsid w:val="00C47419"/>
    <w:rsid w:val="00C47526"/>
    <w:rsid w:val="00C50355"/>
    <w:rsid w:val="00C517EC"/>
    <w:rsid w:val="00C51B44"/>
    <w:rsid w:val="00C52110"/>
    <w:rsid w:val="00C5212A"/>
    <w:rsid w:val="00C5256E"/>
    <w:rsid w:val="00C52CCA"/>
    <w:rsid w:val="00C52EE9"/>
    <w:rsid w:val="00C541D2"/>
    <w:rsid w:val="00C551AF"/>
    <w:rsid w:val="00C56566"/>
    <w:rsid w:val="00C571F6"/>
    <w:rsid w:val="00C5751B"/>
    <w:rsid w:val="00C57D1C"/>
    <w:rsid w:val="00C605A8"/>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589"/>
    <w:rsid w:val="00CC4CC5"/>
    <w:rsid w:val="00CC581F"/>
    <w:rsid w:val="00CC5F22"/>
    <w:rsid w:val="00CC63D5"/>
    <w:rsid w:val="00CC6A47"/>
    <w:rsid w:val="00CC72C8"/>
    <w:rsid w:val="00CC73C0"/>
    <w:rsid w:val="00CD032F"/>
    <w:rsid w:val="00CD0B68"/>
    <w:rsid w:val="00CD0C1B"/>
    <w:rsid w:val="00CD0EF0"/>
    <w:rsid w:val="00CD1452"/>
    <w:rsid w:val="00CD16CF"/>
    <w:rsid w:val="00CD3229"/>
    <w:rsid w:val="00CD3343"/>
    <w:rsid w:val="00CD3D8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54C4"/>
    <w:rsid w:val="00D462CC"/>
    <w:rsid w:val="00D4632E"/>
    <w:rsid w:val="00D47564"/>
    <w:rsid w:val="00D47D25"/>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50B1"/>
    <w:rsid w:val="00DB541D"/>
    <w:rsid w:val="00DB5973"/>
    <w:rsid w:val="00DB5D67"/>
    <w:rsid w:val="00DB613A"/>
    <w:rsid w:val="00DB6647"/>
    <w:rsid w:val="00DB66CE"/>
    <w:rsid w:val="00DB66EC"/>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C1E"/>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4F1"/>
    <w:rsid w:val="00E02537"/>
    <w:rsid w:val="00E02DFC"/>
    <w:rsid w:val="00E035A8"/>
    <w:rsid w:val="00E03CCB"/>
    <w:rsid w:val="00E03E6C"/>
    <w:rsid w:val="00E04AA5"/>
    <w:rsid w:val="00E0573F"/>
    <w:rsid w:val="00E0590E"/>
    <w:rsid w:val="00E05CE7"/>
    <w:rsid w:val="00E05F25"/>
    <w:rsid w:val="00E0685D"/>
    <w:rsid w:val="00E070DE"/>
    <w:rsid w:val="00E071E6"/>
    <w:rsid w:val="00E0728F"/>
    <w:rsid w:val="00E075F2"/>
    <w:rsid w:val="00E10321"/>
    <w:rsid w:val="00E105D5"/>
    <w:rsid w:val="00E10636"/>
    <w:rsid w:val="00E10A17"/>
    <w:rsid w:val="00E11804"/>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504"/>
    <w:rsid w:val="00E246DB"/>
    <w:rsid w:val="00E24B03"/>
    <w:rsid w:val="00E25241"/>
    <w:rsid w:val="00E255C8"/>
    <w:rsid w:val="00E25A78"/>
    <w:rsid w:val="00E2667C"/>
    <w:rsid w:val="00E26FD1"/>
    <w:rsid w:val="00E27212"/>
    <w:rsid w:val="00E27423"/>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36C7"/>
    <w:rsid w:val="00E63933"/>
    <w:rsid w:val="00E647E9"/>
    <w:rsid w:val="00E6567F"/>
    <w:rsid w:val="00E657B2"/>
    <w:rsid w:val="00E674BF"/>
    <w:rsid w:val="00E7198C"/>
    <w:rsid w:val="00E71B78"/>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7A0"/>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F1195"/>
    <w:rsid w:val="00EF1F02"/>
    <w:rsid w:val="00EF22B0"/>
    <w:rsid w:val="00EF257A"/>
    <w:rsid w:val="00EF366C"/>
    <w:rsid w:val="00EF3EFB"/>
    <w:rsid w:val="00EF5382"/>
    <w:rsid w:val="00EF5C63"/>
    <w:rsid w:val="00EF5F75"/>
    <w:rsid w:val="00EF6575"/>
    <w:rsid w:val="00EF6BAD"/>
    <w:rsid w:val="00EF74F9"/>
    <w:rsid w:val="00EF7980"/>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BE4"/>
    <w:rsid w:val="00F12228"/>
    <w:rsid w:val="00F12599"/>
    <w:rsid w:val="00F12617"/>
    <w:rsid w:val="00F12A54"/>
    <w:rsid w:val="00F12E37"/>
    <w:rsid w:val="00F12FCC"/>
    <w:rsid w:val="00F1313D"/>
    <w:rsid w:val="00F138D8"/>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1842"/>
    <w:rsid w:val="00F41A18"/>
    <w:rsid w:val="00F41FEB"/>
    <w:rsid w:val="00F42BC0"/>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3A9"/>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77C91"/>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21F"/>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859"/>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C7248"/>
    <w:rsid w:val="00FD0AAD"/>
    <w:rsid w:val="00FD0E9C"/>
    <w:rsid w:val="00FD16DB"/>
    <w:rsid w:val="00FD22C6"/>
    <w:rsid w:val="00FD28FD"/>
    <w:rsid w:val="00FD33DB"/>
    <w:rsid w:val="00FD446F"/>
    <w:rsid w:val="00FD5200"/>
    <w:rsid w:val="00FD52B3"/>
    <w:rsid w:val="00FD552A"/>
    <w:rsid w:val="00FD57D5"/>
    <w:rsid w:val="00FD5C90"/>
    <w:rsid w:val="00FD6059"/>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615"/>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ListParagraphChar">
    <w:name w:val="List Paragraph Char"/>
    <w:link w:val="ListParagraph"/>
    <w:uiPriority w:val="34"/>
    <w:locked/>
    <w:rsid w:val="00FC7248"/>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11580052">
      <w:bodyDiv w:val="1"/>
      <w:marLeft w:val="0"/>
      <w:marRight w:val="0"/>
      <w:marTop w:val="0"/>
      <w:marBottom w:val="0"/>
      <w:divBdr>
        <w:top w:val="none" w:sz="0" w:space="0" w:color="auto"/>
        <w:left w:val="none" w:sz="0" w:space="0" w:color="auto"/>
        <w:bottom w:val="none" w:sz="0" w:space="0" w:color="auto"/>
        <w:right w:val="none" w:sz="0" w:space="0" w:color="auto"/>
      </w:divBdr>
      <w:divsChild>
        <w:div w:id="1891725570">
          <w:marLeft w:val="1800"/>
          <w:marRight w:val="0"/>
          <w:marTop w:val="58"/>
          <w:marBottom w:val="0"/>
          <w:divBdr>
            <w:top w:val="none" w:sz="0" w:space="0" w:color="auto"/>
            <w:left w:val="none" w:sz="0" w:space="0" w:color="auto"/>
            <w:bottom w:val="none" w:sz="0" w:space="0" w:color="auto"/>
            <w:right w:val="none" w:sz="0" w:space="0" w:color="auto"/>
          </w:divBdr>
        </w:div>
      </w:divsChild>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53962840">
      <w:bodyDiv w:val="1"/>
      <w:marLeft w:val="0"/>
      <w:marRight w:val="0"/>
      <w:marTop w:val="0"/>
      <w:marBottom w:val="0"/>
      <w:divBdr>
        <w:top w:val="none" w:sz="0" w:space="0" w:color="auto"/>
        <w:left w:val="none" w:sz="0" w:space="0" w:color="auto"/>
        <w:bottom w:val="none" w:sz="0" w:space="0" w:color="auto"/>
        <w:right w:val="none" w:sz="0" w:space="0" w:color="auto"/>
      </w:divBdr>
      <w:divsChild>
        <w:div w:id="1745836273">
          <w:marLeft w:val="1800"/>
          <w:marRight w:val="0"/>
          <w:marTop w:val="58"/>
          <w:marBottom w:val="0"/>
          <w:divBdr>
            <w:top w:val="none" w:sz="0" w:space="0" w:color="auto"/>
            <w:left w:val="none" w:sz="0" w:space="0" w:color="auto"/>
            <w:bottom w:val="none" w:sz="0" w:space="0" w:color="auto"/>
            <w:right w:val="none" w:sz="0" w:space="0" w:color="auto"/>
          </w:divBdr>
        </w:div>
        <w:div w:id="318076083">
          <w:marLeft w:val="2520"/>
          <w:marRight w:val="0"/>
          <w:marTop w:val="48"/>
          <w:marBottom w:val="0"/>
          <w:divBdr>
            <w:top w:val="none" w:sz="0" w:space="0" w:color="auto"/>
            <w:left w:val="none" w:sz="0" w:space="0" w:color="auto"/>
            <w:bottom w:val="none" w:sz="0" w:space="0" w:color="auto"/>
            <w:right w:val="none" w:sz="0" w:space="0" w:color="auto"/>
          </w:divBdr>
        </w:div>
      </w:divsChild>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1282341">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8555656">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301DB-FC7C-4DBE-90AE-E4F25637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2413</TotalTime>
  <Pages>3</Pages>
  <Words>636</Words>
  <Characters>3488</Characters>
  <Application>Microsoft Office Word</Application>
  <DocSecurity>0</DocSecurity>
  <Lines>214</Lines>
  <Paragraphs>64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35</cp:revision>
  <cp:lastPrinted>2013-01-18T22:27:00Z</cp:lastPrinted>
  <dcterms:created xsi:type="dcterms:W3CDTF">2018-11-02T16:46:00Z</dcterms:created>
  <dcterms:modified xsi:type="dcterms:W3CDTF">2019-02-15T19:46:00Z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8151af6b-fb3c-4313-962e-6026548a51c7</vt:lpwstr>
  </property>
  <property fmtid="{D5CDD505-2E9C-101B-9397-08002B2CF9AE}" pid="12" name="CTP_BU">
    <vt:lpwstr>NEXT GEN &amp; STANDARDS GROUP</vt:lpwstr>
  </property>
  <property fmtid="{D5CDD505-2E9C-101B-9397-08002B2CF9AE}" pid="13" name="CTP_TimeStamp">
    <vt:lpwstr>2019-02-15 19:46:55Z</vt:lpwstr>
  </property>
  <property fmtid="{D5CDD505-2E9C-101B-9397-08002B2CF9AE}" pid="14" name="_ReviewingToolsShownOnce">
    <vt:lpwstr/>
  </property>
  <property fmtid="{D5CDD505-2E9C-101B-9397-08002B2CF9AE}" pid="15" name="CTPClassification">
    <vt:lpwstr>CTP_IC</vt:lpwstr>
  </property>
</Properties>
</file>